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Chars="0"/>
        <w:rPr>
          <w:rFonts w:hint="eastAsia"/>
          <w:sz w:val="15"/>
          <w:szCs w:val="15"/>
        </w:rPr>
      </w:pPr>
      <w:bookmarkStart w:id="0" w:name="_Toc508209811"/>
      <w:bookmarkStart w:id="1" w:name="_Toc490862088"/>
      <w:bookmarkStart w:id="2" w:name="_Toc18426"/>
      <w:r>
        <w:rPr>
          <w:rFonts w:hint="eastAsia"/>
          <w:kern w:val="0"/>
        </w:rPr>
        <w:t>药品不良反应/事件报告表（</w:t>
      </w:r>
      <w:r>
        <w:rPr>
          <w:kern w:val="0"/>
        </w:rPr>
        <w:t>CTI-A-0</w:t>
      </w:r>
      <w:r>
        <w:rPr>
          <w:rFonts w:hint="eastAsia"/>
          <w:kern w:val="0"/>
        </w:rPr>
        <w:t>10</w:t>
      </w:r>
      <w:r>
        <w:rPr>
          <w:kern w:val="0"/>
        </w:rPr>
        <w:t>-A</w:t>
      </w:r>
      <w:r>
        <w:rPr>
          <w:rFonts w:hint="eastAsia"/>
          <w:kern w:val="0"/>
        </w:rPr>
        <w:t>01</w:t>
      </w:r>
      <w:r>
        <w:rPr>
          <w:kern w:val="0"/>
        </w:rPr>
        <w:t>-</w:t>
      </w:r>
      <w:r>
        <w:rPr>
          <w:rFonts w:hint="eastAsia"/>
          <w:kern w:val="0"/>
        </w:rPr>
        <w:t>V1.0）</w:t>
      </w:r>
      <w:r>
        <w:rPr>
          <w:rFonts w:hint="eastAsia"/>
        </w:rPr>
        <w:t xml:space="preserve"> </w:t>
      </w:r>
      <w:r>
        <w:rPr>
          <w:rFonts w:hint="eastAsia"/>
          <w:sz w:val="15"/>
          <w:szCs w:val="15"/>
        </w:rPr>
        <w:t>制表单位：国家食品药品监督管理总局</w:t>
      </w:r>
      <w:bookmarkEnd w:id="0"/>
      <w:bookmarkEnd w:id="1"/>
      <w:bookmarkEnd w:id="2"/>
    </w:p>
    <w:p>
      <w:pPr>
        <w:spacing w:line="360" w:lineRule="auto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药 品 不 良 反 应 / 事 件 报 告 表</w:t>
      </w:r>
    </w:p>
    <w:p>
      <w:pPr>
        <w:spacing w:line="240" w:lineRule="exact"/>
        <w:ind w:left="-710" w:leftChars="-494" w:hanging="327" w:hangingChars="182"/>
        <w:rPr>
          <w:rFonts w:hint="eastAsia"/>
          <w:b/>
          <w:sz w:val="24"/>
          <w:u w:val="single"/>
        </w:rPr>
      </w:pPr>
      <w:r>
        <w:rPr>
          <w:rFonts w:hint="eastAsia" w:ascii="宋体"/>
          <w:sz w:val="18"/>
          <w:szCs w:val="18"/>
        </w:rPr>
        <w:t xml:space="preserve">首次报告□        跟踪报告□                                          </w:t>
      </w:r>
      <w:r>
        <w:rPr>
          <w:rFonts w:hint="eastAsia"/>
          <w:sz w:val="18"/>
        </w:rPr>
        <w:t>编码：</w:t>
      </w:r>
      <w:r>
        <w:rPr>
          <w:rFonts w:hint="eastAsia" w:ascii="宋体"/>
          <w:u w:val="single"/>
        </w:rPr>
        <w:t xml:space="preserve">                              </w:t>
      </w:r>
    </w:p>
    <w:p>
      <w:pPr>
        <w:spacing w:line="240" w:lineRule="exact"/>
        <w:ind w:left="-993" w:leftChars="-500" w:hanging="57" w:hangingChars="32"/>
        <w:rPr>
          <w:rFonts w:hint="eastAsia" w:ascii="宋体"/>
          <w:sz w:val="18"/>
          <w:szCs w:val="18"/>
        </w:rPr>
      </w:pPr>
      <w:r>
        <w:rPr>
          <w:rFonts w:hint="eastAsia"/>
          <w:sz w:val="18"/>
          <w:szCs w:val="18"/>
        </w:rPr>
        <w:t>报告类型：新的</w:t>
      </w:r>
      <w:r>
        <w:rPr>
          <w:rFonts w:hint="eastAsia" w:ascii="宋体"/>
          <w:sz w:val="18"/>
          <w:szCs w:val="18"/>
        </w:rPr>
        <w:t xml:space="preserve">□  </w:t>
      </w:r>
      <w:r>
        <w:rPr>
          <w:rFonts w:hint="eastAsia"/>
          <w:sz w:val="18"/>
          <w:szCs w:val="18"/>
        </w:rPr>
        <w:t>严重</w:t>
      </w:r>
      <w:r>
        <w:rPr>
          <w:rFonts w:hint="eastAsia" w:ascii="宋体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  一般</w:t>
      </w:r>
      <w:r>
        <w:rPr>
          <w:rFonts w:hint="eastAsia" w:ascii="宋体"/>
          <w:sz w:val="18"/>
          <w:szCs w:val="18"/>
        </w:rPr>
        <w:t xml:space="preserve">□       </w:t>
      </w:r>
      <w:r>
        <w:rPr>
          <w:rFonts w:hint="eastAsia" w:ascii="宋体"/>
          <w:bCs/>
          <w:sz w:val="18"/>
          <w:szCs w:val="18"/>
        </w:rPr>
        <w:t>报告单位类别：医疗机构</w:t>
      </w:r>
      <w:r>
        <w:rPr>
          <w:rFonts w:hint="eastAsia" w:ascii="宋体"/>
          <w:sz w:val="18"/>
          <w:szCs w:val="18"/>
        </w:rPr>
        <w:t xml:space="preserve">□   </w:t>
      </w:r>
      <w:r>
        <w:rPr>
          <w:rFonts w:hint="eastAsia"/>
          <w:bCs/>
          <w:sz w:val="18"/>
          <w:szCs w:val="18"/>
        </w:rPr>
        <w:t>经营企业</w:t>
      </w:r>
      <w:r>
        <w:rPr>
          <w:rFonts w:hint="eastAsia" w:ascii="宋体"/>
          <w:sz w:val="18"/>
          <w:szCs w:val="18"/>
        </w:rPr>
        <w:t xml:space="preserve">□   产企业□  个人□   其他□ </w:t>
      </w:r>
      <w:r>
        <w:rPr>
          <w:rFonts w:hint="eastAsia" w:ascii="宋体"/>
          <w:sz w:val="18"/>
          <w:szCs w:val="18"/>
          <w:u w:val="single"/>
        </w:rPr>
        <w:t xml:space="preserve">       </w:t>
      </w:r>
    </w:p>
    <w:tbl>
      <w:tblPr>
        <w:tblStyle w:val="6"/>
        <w:tblW w:w="0" w:type="auto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965"/>
        <w:gridCol w:w="203"/>
        <w:gridCol w:w="312"/>
        <w:gridCol w:w="447"/>
        <w:gridCol w:w="466"/>
        <w:gridCol w:w="586"/>
        <w:gridCol w:w="337"/>
        <w:gridCol w:w="850"/>
        <w:gridCol w:w="538"/>
        <w:gridCol w:w="214"/>
        <w:gridCol w:w="429"/>
        <w:gridCol w:w="796"/>
        <w:gridCol w:w="217"/>
        <w:gridCol w:w="269"/>
        <w:gridCol w:w="1581"/>
        <w:gridCol w:w="189"/>
        <w:gridCol w:w="1206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904" w:type="dxa"/>
            <w:gridSpan w:val="4"/>
            <w:noWrap w:val="0"/>
            <w:vAlign w:val="center"/>
          </w:tcPr>
          <w:p>
            <w:pPr>
              <w:ind w:left="-67" w:leftChars="-32" w:firstLine="66" w:firstLineChars="3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患者姓名：</w:t>
            </w:r>
          </w:p>
        </w:tc>
        <w:tc>
          <w:tcPr>
            <w:tcW w:w="1499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女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</w:p>
        </w:tc>
        <w:tc>
          <w:tcPr>
            <w:tcW w:w="2368" w:type="dxa"/>
            <w:gridSpan w:val="5"/>
            <w:noWrap w:val="0"/>
            <w:vAlign w:val="center"/>
          </w:tcPr>
          <w:p>
            <w:pPr>
              <w:ind w:left="360" w:hanging="360" w:hanging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>
            <w:pPr>
              <w:ind w:left="360" w:hanging="360" w:hanging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或年龄： 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民族：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体重（kg）：</w:t>
            </w:r>
          </w:p>
        </w:tc>
        <w:tc>
          <w:tcPr>
            <w:tcW w:w="2321" w:type="dxa"/>
            <w:gridSpan w:val="2"/>
            <w:noWrap w:val="0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17" w:type="dxa"/>
            <w:gridSpan w:val="6"/>
            <w:noWrap w:val="0"/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原患疾病：</w:t>
            </w:r>
          </w:p>
        </w:tc>
        <w:tc>
          <w:tcPr>
            <w:tcW w:w="2954" w:type="dxa"/>
            <w:gridSpan w:val="6"/>
            <w:noWrap w:val="0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医院名称： </w:t>
            </w:r>
          </w:p>
          <w:p>
            <w:pPr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病历号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门诊号：</w:t>
            </w:r>
          </w:p>
        </w:tc>
        <w:tc>
          <w:tcPr>
            <w:tcW w:w="5373" w:type="dxa"/>
            <w:gridSpan w:val="7"/>
            <w:noWrap w:val="0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3782695</wp:posOffset>
                      </wp:positionH>
                      <wp:positionV relativeFrom="paragraph">
                        <wp:posOffset>92710</wp:posOffset>
                      </wp:positionV>
                      <wp:extent cx="635" cy="396240"/>
                      <wp:effectExtent l="4445" t="0" r="13970" b="381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9624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7.85pt;margin-top:7.3pt;height:31.2pt;width:0.05pt;z-index:251658240;mso-width-relative:page;mso-height-relative:page;" filled="f" stroked="t" coordsize="21600,21600" o:gfxdata="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rAqJ9gAAAAJAQAADwAAAAAA&#10;AAABACAAAAAiAAAAZHJzL2Rvd25yZXYueG1sUEsBAhQAFAAAAAgAh07iQKBvmg/aAQAAlwMAAA4A&#10;AAAAAAAAAQAgAAAAJwEAAGRycy9lMm9Eb2MueG1sUEsFBgAAAAAGAAYAWQEAAHM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既往药品不良反应/事件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</w:t>
            </w:r>
            <w:r>
              <w:rPr>
                <w:rFonts w:hint="eastAsia"/>
                <w:sz w:val="18"/>
                <w:szCs w:val="18"/>
              </w:rPr>
              <w:t>无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不详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</w:p>
          <w:p>
            <w:pPr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家族药品不良反应/事件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rFonts w:hint="eastAsia" w:ascii="宋体"/>
                <w:sz w:val="18"/>
                <w:szCs w:val="18"/>
                <w:u w:val="single"/>
              </w:rPr>
              <w:t xml:space="preserve">                   </w:t>
            </w:r>
            <w:r>
              <w:rPr>
                <w:rFonts w:hint="eastAsia"/>
                <w:sz w:val="18"/>
                <w:szCs w:val="18"/>
              </w:rPr>
              <w:t>无</w:t>
            </w:r>
            <w:r>
              <w:rPr>
                <w:rFonts w:hint="eastAsia" w:ascii="宋体"/>
                <w:sz w:val="18"/>
                <w:szCs w:val="18"/>
              </w:rPr>
              <w:t xml:space="preserve">□ </w:t>
            </w:r>
            <w:r>
              <w:rPr>
                <w:rFonts w:hint="eastAsia"/>
                <w:sz w:val="18"/>
                <w:szCs w:val="18"/>
              </w:rPr>
              <w:t>不详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144" w:type="dxa"/>
            <w:gridSpan w:val="19"/>
            <w:noWrap w:val="0"/>
            <w:vAlign w:val="top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相关重要信息： 吸烟史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  饮酒史□  妊娠期□  肝病史□  肾病史□  过敏史□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其他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药品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批准文号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商品名称</w:t>
            </w:r>
          </w:p>
        </w:tc>
        <w:tc>
          <w:tcPr>
            <w:tcW w:w="13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通用名称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（含剂型）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生产厂家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生产批号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用法用量</w:t>
            </w:r>
          </w:p>
          <w:p>
            <w:pPr>
              <w:jc w:val="center"/>
              <w:rPr>
                <w:rFonts w:hint="eastAsia"/>
                <w:sz w:val="15"/>
                <w:szCs w:val="15"/>
                <w:highlight w:val="yellow"/>
              </w:rPr>
            </w:pPr>
            <w:r>
              <w:rPr>
                <w:rFonts w:hint="eastAsia"/>
                <w:sz w:val="15"/>
                <w:szCs w:val="15"/>
              </w:rPr>
              <w:t>（次剂量、途径、日次数）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用药起止时间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用药原因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怀疑药品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9" w:type="dxa"/>
            <w:gridSpan w:val="3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rPr>
                <w:rFonts w:hint="eastAs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jc w:val="left"/>
              <w:rPr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并用药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9" w:type="dxa"/>
            <w:gridSpan w:val="3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2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9" w:type="dxa"/>
            <w:gridSpan w:val="3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342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不良反应/事件名称</w:t>
            </w:r>
            <w:r>
              <w:rPr>
                <w:sz w:val="18"/>
                <w:szCs w:val="18"/>
              </w:rPr>
              <w:t>：</w:t>
            </w:r>
          </w:p>
        </w:tc>
        <w:tc>
          <w:tcPr>
            <w:tcW w:w="5802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不良反应/事件发生时间</w:t>
            </w:r>
            <w:r>
              <w:rPr>
                <w:sz w:val="18"/>
                <w:szCs w:val="18"/>
              </w:rPr>
              <w:t>：　　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 xml:space="preserve">  月</w:t>
            </w:r>
            <w:r>
              <w:rPr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144" w:type="dxa"/>
            <w:gridSpan w:val="19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不良反应/事件过程描述（包括症状、体征、临床检验等）及处理情况（可附页）：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144" w:type="dxa"/>
            <w:gridSpan w:val="19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不良反应/事件的结果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痊愈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    好转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    未好转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    不详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    有后遗症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表现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      </w:t>
            </w:r>
          </w:p>
          <w:p>
            <w:pPr>
              <w:spacing w:line="240" w:lineRule="exact"/>
              <w:ind w:firstLine="1800" w:firstLineChars="10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死亡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直接死因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 </w:t>
            </w:r>
            <w:r>
              <w:rPr>
                <w:rFonts w:hint="eastAsia"/>
                <w:sz w:val="18"/>
                <w:szCs w:val="18"/>
              </w:rPr>
              <w:t xml:space="preserve">    死亡时间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年    月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44" w:type="dxa"/>
            <w:gridSpan w:val="19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停药或减量后，反应/事件是否消失或减轻？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     是□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否□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不明□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未停药或未减量□</w:t>
            </w:r>
          </w:p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再次使用可疑药品后是否再次出现同样反应/事件？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是□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否□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不明□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未再使用□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144" w:type="dxa"/>
            <w:gridSpan w:val="19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对原患疾病的影响： 不明显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 病程延长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 病情加重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 导致后遗症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 导致死亡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关联性评价</w:t>
            </w:r>
          </w:p>
        </w:tc>
        <w:tc>
          <w:tcPr>
            <w:tcW w:w="9552" w:type="dxa"/>
            <w:gridSpan w:val="16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报告人评价：　　肯定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很可能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可能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可能无关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待评价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　 </w:t>
            </w:r>
            <w:r>
              <w:rPr>
                <w:rFonts w:hint="eastAsia"/>
                <w:sz w:val="18"/>
                <w:szCs w:val="18"/>
              </w:rPr>
              <w:t>无法评价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　 </w:t>
            </w:r>
            <w:r>
              <w:rPr>
                <w:rFonts w:hint="eastAsia"/>
                <w:sz w:val="18"/>
                <w:szCs w:val="18"/>
              </w:rPr>
              <w:t>签名</w:t>
            </w:r>
            <w:r>
              <w:rPr>
                <w:sz w:val="18"/>
                <w:szCs w:val="18"/>
              </w:rPr>
              <w:t>：</w:t>
            </w:r>
          </w:p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报告单位评价：　肯定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很可能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可能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可能无关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待评价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　 </w:t>
            </w:r>
            <w:r>
              <w:rPr>
                <w:rFonts w:hint="eastAsia"/>
                <w:sz w:val="18"/>
                <w:szCs w:val="18"/>
              </w:rPr>
              <w:t>无法评价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　 </w:t>
            </w:r>
            <w:r>
              <w:rPr>
                <w:rFonts w:hint="eastAsia"/>
                <w:sz w:val="18"/>
                <w:szCs w:val="18"/>
              </w:rPr>
              <w:t>签名</w:t>
            </w:r>
            <w:r>
              <w:rPr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9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报告人信息</w:t>
            </w:r>
          </w:p>
        </w:tc>
        <w:tc>
          <w:tcPr>
            <w:tcW w:w="3536" w:type="dxa"/>
            <w:gridSpan w:val="7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联系电话：</w:t>
            </w:r>
          </w:p>
        </w:tc>
        <w:tc>
          <w:tcPr>
            <w:tcW w:w="6016" w:type="dxa"/>
            <w:gridSpan w:val="9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职业：医生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 xml:space="preserve"> 药师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　 护士</w:t>
            </w:r>
            <w:r>
              <w:rPr>
                <w:rFonts w:hint="eastAsia" w:ascii="宋体"/>
                <w:sz w:val="18"/>
                <w:szCs w:val="18"/>
              </w:rPr>
              <w:t xml:space="preserve">□  </w:t>
            </w:r>
            <w:r>
              <w:rPr>
                <w:rFonts w:hint="eastAsia"/>
                <w:sz w:val="18"/>
                <w:szCs w:val="18"/>
              </w:rPr>
              <w:t xml:space="preserve">  其他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975" w:type="dxa"/>
            <w:gridSpan w:val="10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电子邮箱：</w:t>
            </w:r>
          </w:p>
        </w:tc>
        <w:tc>
          <w:tcPr>
            <w:tcW w:w="4577" w:type="dxa"/>
            <w:gridSpan w:val="6"/>
            <w:noWrap w:val="0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报告单位信息</w:t>
            </w:r>
          </w:p>
        </w:tc>
        <w:tc>
          <w:tcPr>
            <w:tcW w:w="2998" w:type="dxa"/>
            <w:gridSpan w:val="6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单位名称：</w:t>
            </w:r>
            <w:r>
              <w:rPr>
                <w:sz w:val="18"/>
                <w:szCs w:val="18"/>
              </w:rPr>
              <w:t>　　　　　　　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>　</w:t>
            </w:r>
          </w:p>
        </w:tc>
        <w:tc>
          <w:tcPr>
            <w:tcW w:w="1977" w:type="dxa"/>
            <w:gridSpan w:val="4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联系人：</w:t>
            </w:r>
          </w:p>
        </w:tc>
        <w:tc>
          <w:tcPr>
            <w:tcW w:w="2067" w:type="dxa"/>
            <w:gridSpan w:val="3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电话：</w:t>
            </w:r>
            <w:r>
              <w:rPr>
                <w:sz w:val="18"/>
                <w:szCs w:val="18"/>
              </w:rPr>
              <w:t>　　</w:t>
            </w:r>
          </w:p>
        </w:tc>
        <w:tc>
          <w:tcPr>
            <w:tcW w:w="251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报告日期： </w:t>
            </w:r>
            <w:r>
              <w:rPr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　　</w:t>
            </w:r>
            <w:r>
              <w:rPr>
                <w:rFonts w:hint="eastAsia"/>
                <w:sz w:val="18"/>
                <w:szCs w:val="18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5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生产企业请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填写信息来源</w:t>
            </w:r>
          </w:p>
        </w:tc>
        <w:tc>
          <w:tcPr>
            <w:tcW w:w="9552" w:type="dxa"/>
            <w:gridSpan w:val="16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医疗机构</w:t>
            </w:r>
            <w:r>
              <w:rPr>
                <w:rFonts w:hint="eastAsia" w:ascii="宋体"/>
                <w:sz w:val="18"/>
                <w:szCs w:val="18"/>
              </w:rPr>
              <w:t xml:space="preserve">□    经营企业□    </w:t>
            </w:r>
            <w:r>
              <w:rPr>
                <w:rFonts w:hint="eastAsia"/>
                <w:sz w:val="18"/>
                <w:szCs w:val="18"/>
              </w:rPr>
              <w:t>个人</w:t>
            </w:r>
            <w:r>
              <w:rPr>
                <w:rFonts w:hint="eastAsia" w:ascii="宋体"/>
                <w:sz w:val="18"/>
                <w:szCs w:val="18"/>
              </w:rPr>
              <w:t xml:space="preserve">□    </w:t>
            </w:r>
            <w:r>
              <w:rPr>
                <w:rFonts w:hint="eastAsia"/>
                <w:sz w:val="18"/>
                <w:szCs w:val="18"/>
              </w:rPr>
              <w:t>文献报道</w:t>
            </w:r>
            <w:r>
              <w:rPr>
                <w:rFonts w:hint="eastAsia" w:ascii="宋体"/>
                <w:sz w:val="18"/>
                <w:szCs w:val="18"/>
              </w:rPr>
              <w:t xml:space="preserve">□    </w:t>
            </w:r>
            <w:r>
              <w:rPr>
                <w:rFonts w:hint="eastAsia"/>
                <w:sz w:val="18"/>
                <w:szCs w:val="18"/>
              </w:rPr>
              <w:t>上市后研究</w:t>
            </w:r>
            <w:r>
              <w:rPr>
                <w:rFonts w:hint="eastAsia" w:ascii="宋体"/>
                <w:sz w:val="18"/>
                <w:szCs w:val="18"/>
              </w:rPr>
              <w:t xml:space="preserve">□    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       注</w:t>
            </w:r>
          </w:p>
        </w:tc>
        <w:tc>
          <w:tcPr>
            <w:tcW w:w="9552" w:type="dxa"/>
            <w:gridSpan w:val="16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4140"/>
        </w:tabs>
        <w:spacing w:line="360" w:lineRule="auto"/>
        <w:rPr>
          <w:rFonts w:hint="eastAsia"/>
          <w:b/>
          <w:bCs/>
          <w:sz w:val="24"/>
        </w:rPr>
      </w:pPr>
    </w:p>
    <w:p>
      <w:pPr>
        <w:tabs>
          <w:tab w:val="left" w:pos="4140"/>
        </w:tabs>
        <w:spacing w:line="360" w:lineRule="auto"/>
        <w:rPr>
          <w:rFonts w:hint="eastAsia"/>
          <w:b/>
          <w:bCs/>
          <w:sz w:val="24"/>
        </w:rPr>
      </w:pPr>
      <w:bookmarkStart w:id="3" w:name="_GoBack"/>
      <w:bookmarkEnd w:id="3"/>
      <w:r>
        <w:rPr>
          <w:rFonts w:hint="eastAsia"/>
          <w:b/>
          <w:bCs/>
          <w:sz w:val="24"/>
        </w:rPr>
        <w:t>严重药品不良反应，是指因使用药品引起以下损害情形之一的反应：</w:t>
      </w:r>
    </w:p>
    <w:p>
      <w:pPr>
        <w:spacing w:line="360" w:lineRule="auto"/>
        <w:ind w:firstLine="480" w:firstLineChars="200"/>
        <w:rPr>
          <w:rFonts w:hint="eastAsia" w:cs="宋体"/>
          <w:bCs/>
          <w:sz w:val="24"/>
        </w:rPr>
      </w:pPr>
      <w:r>
        <w:rPr>
          <w:rFonts w:hint="eastAsia" w:cs="宋体"/>
          <w:bCs/>
          <w:sz w:val="24"/>
        </w:rPr>
        <w:t>1.导致死亡；</w:t>
      </w:r>
    </w:p>
    <w:p>
      <w:pPr>
        <w:spacing w:line="360" w:lineRule="auto"/>
        <w:ind w:firstLine="480" w:firstLineChars="200"/>
        <w:rPr>
          <w:rFonts w:hint="eastAsia" w:cs="宋体"/>
          <w:bCs/>
          <w:sz w:val="24"/>
        </w:rPr>
      </w:pPr>
      <w:r>
        <w:rPr>
          <w:rFonts w:hint="eastAsia" w:cs="宋体"/>
          <w:bCs/>
          <w:sz w:val="24"/>
        </w:rPr>
        <w:t xml:space="preserve">2.危及生命； </w:t>
      </w:r>
    </w:p>
    <w:p>
      <w:pPr>
        <w:spacing w:line="360" w:lineRule="auto"/>
        <w:ind w:firstLine="480" w:firstLineChars="200"/>
        <w:rPr>
          <w:rFonts w:hint="eastAsia" w:cs="宋体"/>
          <w:bCs/>
          <w:sz w:val="24"/>
        </w:rPr>
      </w:pPr>
      <w:r>
        <w:rPr>
          <w:rFonts w:hint="eastAsia" w:cs="宋体"/>
          <w:bCs/>
          <w:sz w:val="24"/>
        </w:rPr>
        <w:t>3.致癌、致畸、致出生缺陷；</w:t>
      </w:r>
    </w:p>
    <w:p>
      <w:pPr>
        <w:spacing w:line="360" w:lineRule="auto"/>
        <w:ind w:firstLine="480" w:firstLineChars="200"/>
        <w:rPr>
          <w:rFonts w:hint="eastAsia" w:cs="宋体"/>
          <w:bCs/>
          <w:sz w:val="24"/>
        </w:rPr>
      </w:pPr>
      <w:r>
        <w:rPr>
          <w:rFonts w:hint="eastAsia" w:cs="宋体"/>
          <w:bCs/>
          <w:sz w:val="24"/>
        </w:rPr>
        <w:t>4.导致显著的或者永久的人体伤残或者器官功能的损伤；</w:t>
      </w:r>
    </w:p>
    <w:p>
      <w:pPr>
        <w:spacing w:line="360" w:lineRule="auto"/>
        <w:ind w:firstLine="480" w:firstLineChars="200"/>
        <w:rPr>
          <w:rFonts w:hint="eastAsia" w:cs="宋体"/>
          <w:bCs/>
          <w:sz w:val="24"/>
        </w:rPr>
      </w:pPr>
      <w:r>
        <w:rPr>
          <w:rFonts w:hint="eastAsia" w:cs="宋体"/>
          <w:bCs/>
          <w:sz w:val="24"/>
        </w:rPr>
        <w:t>5.导致住院或者住院时间延长；</w:t>
      </w:r>
    </w:p>
    <w:p>
      <w:pPr>
        <w:spacing w:line="360" w:lineRule="auto"/>
        <w:ind w:firstLine="480" w:firstLineChars="200"/>
        <w:rPr>
          <w:rFonts w:hint="eastAsia"/>
          <w:bCs/>
          <w:sz w:val="24"/>
        </w:rPr>
      </w:pPr>
      <w:r>
        <w:rPr>
          <w:rFonts w:hint="eastAsia" w:cs="宋体"/>
          <w:bCs/>
          <w:sz w:val="24"/>
        </w:rPr>
        <w:t>6.导致其他</w:t>
      </w:r>
      <w:r>
        <w:rPr>
          <w:rFonts w:hint="eastAsia"/>
          <w:bCs/>
          <w:sz w:val="24"/>
        </w:rPr>
        <w:t>重要医学事件，如不进行治疗可能出现上述所列情况的。</w:t>
      </w:r>
    </w:p>
    <w:p>
      <w:pPr>
        <w:tabs>
          <w:tab w:val="left" w:pos="4140"/>
        </w:tabs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新的药品不良反应：</w:t>
      </w:r>
    </w:p>
    <w:p>
      <w:pPr>
        <w:tabs>
          <w:tab w:val="left" w:pos="4140"/>
        </w:tabs>
        <w:spacing w:line="360" w:lineRule="auto"/>
        <w:rPr>
          <w:rFonts w:hint="eastAsia"/>
          <w:bCs/>
          <w:sz w:val="24"/>
        </w:rPr>
      </w:pP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bCs/>
          <w:sz w:val="24"/>
        </w:rPr>
        <w:t>是指药品说明书中未载明的不良反应。说明书中已有描述，但不良反应发生的性质、程度、后果或者频率与说明书描述不一致或者更严重的，按照新的药品不良反应处理。</w:t>
      </w:r>
    </w:p>
    <w:p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报告时限</w:t>
      </w:r>
    </w:p>
    <w:p>
      <w:pPr>
        <w:spacing w:line="360" w:lineRule="auto"/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新的、</w:t>
      </w:r>
      <w:r>
        <w:rPr>
          <w:bCs/>
          <w:sz w:val="24"/>
        </w:rPr>
        <w:t>严重</w:t>
      </w:r>
      <w:r>
        <w:rPr>
          <w:rFonts w:hint="eastAsia"/>
          <w:bCs/>
          <w:sz w:val="24"/>
        </w:rPr>
        <w:t>的</w:t>
      </w:r>
      <w:r>
        <w:rPr>
          <w:bCs/>
          <w:sz w:val="24"/>
        </w:rPr>
        <w:t>药</w:t>
      </w:r>
      <w:r>
        <w:rPr>
          <w:rFonts w:hint="eastAsia"/>
          <w:bCs/>
          <w:sz w:val="24"/>
        </w:rPr>
        <w:t>品</w:t>
      </w:r>
      <w:r>
        <w:rPr>
          <w:bCs/>
          <w:sz w:val="24"/>
        </w:rPr>
        <w:t>不良</w:t>
      </w:r>
      <w:r>
        <w:rPr>
          <w:rFonts w:hint="eastAsia"/>
          <w:bCs/>
          <w:sz w:val="24"/>
        </w:rPr>
        <w:t>反应应于发现或者获知之日起15</w:t>
      </w:r>
      <w:r>
        <w:rPr>
          <w:bCs/>
          <w:sz w:val="24"/>
        </w:rPr>
        <w:t>日内</w:t>
      </w:r>
      <w:r>
        <w:rPr>
          <w:rFonts w:hint="eastAsia"/>
          <w:bCs/>
          <w:sz w:val="24"/>
        </w:rPr>
        <w:t>报告，</w:t>
      </w:r>
      <w:r>
        <w:rPr>
          <w:bCs/>
          <w:sz w:val="24"/>
        </w:rPr>
        <w:t>其中死亡病例</w:t>
      </w:r>
      <w:r>
        <w:rPr>
          <w:rFonts w:hint="eastAsia"/>
          <w:bCs/>
          <w:sz w:val="24"/>
        </w:rPr>
        <w:t>须立即</w:t>
      </w:r>
      <w:r>
        <w:rPr>
          <w:bCs/>
          <w:sz w:val="24"/>
        </w:rPr>
        <w:t>报告</w:t>
      </w:r>
      <w:r>
        <w:rPr>
          <w:rFonts w:hint="eastAsia"/>
          <w:bCs/>
          <w:sz w:val="24"/>
        </w:rPr>
        <w:t>，其他</w:t>
      </w:r>
      <w:r>
        <w:rPr>
          <w:bCs/>
          <w:sz w:val="24"/>
        </w:rPr>
        <w:t>药</w:t>
      </w:r>
      <w:r>
        <w:rPr>
          <w:rFonts w:hint="eastAsia"/>
          <w:bCs/>
          <w:sz w:val="24"/>
        </w:rPr>
        <w:t>品</w:t>
      </w:r>
      <w:r>
        <w:rPr>
          <w:bCs/>
          <w:sz w:val="24"/>
        </w:rPr>
        <w:t>不良</w:t>
      </w:r>
      <w:r>
        <w:rPr>
          <w:rFonts w:hint="eastAsia"/>
          <w:bCs/>
          <w:sz w:val="24"/>
        </w:rPr>
        <w:t>反应 30日内报告。有随访信息的，应当及时报告。</w:t>
      </w:r>
    </w:p>
    <w:p>
      <w:pPr>
        <w:tabs>
          <w:tab w:val="left" w:pos="4140"/>
        </w:tabs>
        <w:spacing w:line="360" w:lineRule="auto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其他说明</w:t>
      </w:r>
    </w:p>
    <w:p>
      <w:pPr>
        <w:tabs>
          <w:tab w:val="left" w:pos="4140"/>
        </w:tabs>
        <w:spacing w:line="360" w:lineRule="auto"/>
        <w:ind w:firstLine="480" w:firstLineChars="200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怀疑药品：是指患者使用的怀疑与不良反应发生有关的药品。</w:t>
      </w:r>
    </w:p>
    <w:p>
      <w:pPr>
        <w:tabs>
          <w:tab w:val="left" w:pos="4140"/>
        </w:tabs>
        <w:spacing w:line="360" w:lineRule="auto"/>
        <w:ind w:firstLine="480" w:firstLineChars="200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并用药品：指发生此药品不良反应时患者除怀疑药品外的其他用药情况，包括患者自行购买的药品或中草药等。</w:t>
      </w:r>
    </w:p>
    <w:p>
      <w:pPr>
        <w:tabs>
          <w:tab w:val="left" w:pos="4140"/>
        </w:tabs>
        <w:spacing w:line="360" w:lineRule="auto"/>
        <w:ind w:firstLine="480" w:firstLineChars="200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用法用量：包括每次用药剂量、给药途径、每日给药次数，例如，5mg，口服，每日2次。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报告的处理</w:t>
      </w:r>
    </w:p>
    <w:p>
      <w:pPr>
        <w:spacing w:line="360" w:lineRule="auto"/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所有的报告将会录入数据库，专业人员会分析药品和不良反应/事件之间的关系。根据药品风险的普遍性或者严重程度，决定是否需要采取相关措施，如在研究者手册中加入警示信息，更新药品如何安全使用的信息等。在极少数情况下，当认为药品的风险大于效益时，应暂停试验。</w:t>
      </w:r>
    </w:p>
    <w:p>
      <w:pPr>
        <w:widowControl/>
        <w:spacing w:line="360" w:lineRule="auto"/>
        <w:ind w:left="130" w:leftChars="-250" w:hanging="655" w:hangingChars="291"/>
        <w:rPr>
          <w:rFonts w:hint="eastAsia"/>
          <w:b/>
          <w:kern w:val="0"/>
          <w:sz w:val="24"/>
        </w:rPr>
      </w:pPr>
      <w:r>
        <w:rPr>
          <w:rFonts w:hint="eastAsia"/>
          <w:b/>
          <w:spacing w:val="-8"/>
          <w:kern w:val="0"/>
          <w:sz w:val="24"/>
        </w:rPr>
        <w:t xml:space="preserve">   </w:t>
      </w:r>
      <w:r>
        <w:rPr>
          <w:rFonts w:hint="eastAsia"/>
          <w:b/>
          <w:kern w:val="0"/>
          <w:sz w:val="24"/>
        </w:rPr>
        <w:t>不良反应/事件分析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用药与不良反应/事件的出现有无合理的时间关系？ </w:t>
      </w:r>
    </w:p>
    <w:p>
      <w:pPr>
        <w:widowControl/>
        <w:spacing w:line="360" w:lineRule="auto"/>
        <w:ind w:left="6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有□  无□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反应是否符合该药已知的不良反应类型？</w:t>
      </w:r>
      <w:r>
        <w:rPr>
          <w:kern w:val="0"/>
          <w:sz w:val="24"/>
        </w:rPr>
        <w:t xml:space="preserve">   </w:t>
      </w:r>
      <w:r>
        <w:rPr>
          <w:rFonts w:hint="eastAsia"/>
          <w:kern w:val="0"/>
          <w:sz w:val="24"/>
        </w:rPr>
        <w:t xml:space="preserve">      </w:t>
      </w:r>
    </w:p>
    <w:p>
      <w:pPr>
        <w:widowControl/>
        <w:spacing w:line="360" w:lineRule="auto"/>
        <w:ind w:left="60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是□  否□  不明□</w:t>
      </w:r>
    </w:p>
    <w:p>
      <w:pPr>
        <w:widowControl/>
        <w:numPr>
          <w:ilvl w:val="0"/>
          <w:numId w:val="2"/>
        </w:numPr>
        <w:spacing w:line="360" w:lineRule="auto"/>
        <w:ind w:right="-441" w:rightChars="-21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停药或减量后，反应/事件是否消失或减轻？</w:t>
      </w:r>
      <w:r>
        <w:rPr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 xml:space="preserve">    </w:t>
      </w:r>
    </w:p>
    <w:p>
      <w:pPr>
        <w:widowControl/>
        <w:spacing w:line="360" w:lineRule="auto"/>
        <w:ind w:left="600" w:right="-441" w:rightChars="-21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是□  否□  不明□  未停药或未减量□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再次使用可疑</w:t>
      </w:r>
      <w:r>
        <w:rPr>
          <w:rFonts w:hint="eastAsia"/>
          <w:bCs/>
          <w:sz w:val="24"/>
        </w:rPr>
        <w:t>药品</w:t>
      </w:r>
      <w:r>
        <w:rPr>
          <w:rFonts w:hint="eastAsia"/>
          <w:kern w:val="0"/>
          <w:sz w:val="24"/>
        </w:rPr>
        <w:t>后是否再次出现同样反应/事件？</w:t>
      </w:r>
    </w:p>
    <w:p>
      <w:pPr>
        <w:widowControl/>
        <w:spacing w:line="360" w:lineRule="auto"/>
        <w:ind w:left="6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是□  否□  不明□  未再使用□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反应/事件是否可用并用药的作用、患者病情的进展、其他治疗的影响来解释？</w:t>
      </w:r>
    </w:p>
    <w:p>
      <w:pPr>
        <w:widowControl/>
        <w:spacing w:line="360" w:lineRule="auto"/>
        <w:ind w:left="239" w:leftChars="114" w:firstLine="360" w:firstLineChars="150"/>
        <w:jc w:val="left"/>
        <w:rPr>
          <w:rFonts w:hint="eastAsia" w:ascii="楷体_GB2312" w:eastAsia="楷体_GB2312"/>
          <w:kern w:val="0"/>
          <w:sz w:val="24"/>
        </w:rPr>
      </w:pPr>
      <w:r>
        <w:rPr>
          <w:rFonts w:hint="eastAsia"/>
          <w:kern w:val="0"/>
          <w:sz w:val="24"/>
        </w:rPr>
        <w:t>是□ 否□ 不明□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9180"/>
        <w:tab w:val="clear" w:pos="8306"/>
      </w:tabs>
      <w:jc w:val="right"/>
      <w:rPr>
        <w:rFonts w:hint="eastAsia"/>
        <w:lang w:eastAsia="zh-CN"/>
      </w:rPr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76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 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76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/>
      </w:rPr>
      <w:drawing>
        <wp:inline distT="0" distB="0" distL="114300" distR="114300">
          <wp:extent cx="2731770" cy="497840"/>
          <wp:effectExtent l="0" t="0" r="11430" b="16510"/>
          <wp:docPr id="2" name="图片 1" descr="深圳蛇口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深圳蛇口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177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机构文档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1260F"/>
    <w:multiLevelType w:val="multilevel"/>
    <w:tmpl w:val="3061260F"/>
    <w:lvl w:ilvl="0" w:tentative="0">
      <w:start w:val="1"/>
      <w:numFmt w:val="decimal"/>
      <w:lvlText w:val="%1."/>
      <w:lvlJc w:val="left"/>
      <w:pPr>
        <w:ind w:left="600" w:hanging="36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58ED78D2"/>
    <w:multiLevelType w:val="singleLevel"/>
    <w:tmpl w:val="58ED78D2"/>
    <w:lvl w:ilvl="0" w:tentative="0">
      <w:start w:val="1"/>
      <w:numFmt w:val="decimal"/>
      <w:pStyle w:val="2"/>
      <w:suff w:val="nothing"/>
      <w:lvlText w:val="%1."/>
      <w:lvlJc w:val="left"/>
      <w:pPr>
        <w:ind w:left="0" w:firstLine="0"/>
      </w:pPr>
      <w:rPr>
        <w:rFonts w:hint="eastAsia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C577E"/>
    <w:rsid w:val="20B64201"/>
    <w:rsid w:val="5B0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numPr>
        <w:ilvl w:val="0"/>
        <w:numId w:val="1"/>
      </w:numPr>
      <w:spacing w:before="0" w:after="0" w:line="360" w:lineRule="auto"/>
      <w:outlineLvl w:val="0"/>
    </w:pPr>
    <w:rPr>
      <w:rFonts w:ascii="Times New Roman" w:hAnsi="宋体" w:eastAsia="宋体"/>
      <w:sz w:val="24"/>
      <w:szCs w:val="2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skrmyy</dc:creator>
  <cp:lastModifiedBy>skrmyy</cp:lastModifiedBy>
  <dcterms:modified xsi:type="dcterms:W3CDTF">2019-11-21T07:27:52Z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