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5D3C5F" w:rsidRPr="005D3C5F">
        <w:rPr>
          <w:rFonts w:ascii="宋体" w:hAnsi="宋体" w:hint="eastAsia"/>
          <w:b/>
          <w:sz w:val="44"/>
          <w:szCs w:val="44"/>
        </w:rPr>
        <w:t>细胞因子试剂</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5D3C5F" w:rsidRPr="005D3C5F" w:rsidRDefault="002F7F80" w:rsidP="005D3C5F">
      <w:pPr>
        <w:pStyle w:val="a7"/>
        <w:numPr>
          <w:ilvl w:val="0"/>
          <w:numId w:val="16"/>
        </w:numPr>
        <w:spacing w:line="240" w:lineRule="auto"/>
        <w:ind w:firstLineChars="0"/>
        <w:rPr>
          <w:rFonts w:asciiTheme="minorEastAsia" w:eastAsiaTheme="minorEastAsia" w:hAnsiTheme="minorEastAsia" w:hint="eastAsia"/>
          <w:szCs w:val="21"/>
        </w:rPr>
      </w:pPr>
      <w:r w:rsidRPr="005D3C5F">
        <w:rPr>
          <w:rFonts w:asciiTheme="minorEastAsia" w:eastAsiaTheme="minorEastAsia" w:hAnsiTheme="minorEastAsia" w:hint="eastAsia"/>
          <w:bCs/>
          <w:szCs w:val="21"/>
        </w:rPr>
        <w:t>项目名称及数量：</w:t>
      </w:r>
    </w:p>
    <w:tbl>
      <w:tblPr>
        <w:tblW w:w="10288" w:type="dxa"/>
        <w:jc w:val="center"/>
        <w:tblInd w:w="93" w:type="dxa"/>
        <w:tblLook w:val="04A0"/>
      </w:tblPr>
      <w:tblGrid>
        <w:gridCol w:w="874"/>
        <w:gridCol w:w="4059"/>
        <w:gridCol w:w="876"/>
        <w:gridCol w:w="1142"/>
        <w:gridCol w:w="1216"/>
        <w:gridCol w:w="2121"/>
      </w:tblGrid>
      <w:tr w:rsidR="005D3C5F" w:rsidRPr="009B59E6" w:rsidTr="005D3C5F">
        <w:trPr>
          <w:trHeight w:val="123"/>
          <w:jc w:val="center"/>
        </w:trPr>
        <w:tc>
          <w:tcPr>
            <w:tcW w:w="87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序号</w:t>
            </w:r>
          </w:p>
        </w:tc>
        <w:tc>
          <w:tcPr>
            <w:tcW w:w="4059"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名称</w:t>
            </w:r>
          </w:p>
        </w:tc>
        <w:tc>
          <w:tcPr>
            <w:tcW w:w="876"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国别</w:t>
            </w:r>
          </w:p>
        </w:tc>
        <w:tc>
          <w:tcPr>
            <w:tcW w:w="1142"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规格</w:t>
            </w:r>
          </w:p>
        </w:tc>
        <w:tc>
          <w:tcPr>
            <w:tcW w:w="1216"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数量</w:t>
            </w:r>
          </w:p>
        </w:tc>
        <w:tc>
          <w:tcPr>
            <w:tcW w:w="2121" w:type="dxa"/>
            <w:tcBorders>
              <w:top w:val="single" w:sz="8" w:space="0" w:color="auto"/>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产品技术参数要求</w:t>
            </w:r>
          </w:p>
        </w:tc>
      </w:tr>
      <w:tr w:rsidR="005D3C5F" w:rsidRPr="009B59E6" w:rsidTr="005D3C5F">
        <w:trPr>
          <w:trHeight w:val="228"/>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SDF-1α/ CXCL12 (22-89),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280"/>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2</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TGFB1/ TGFβ1/ TGF-β1,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367"/>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3</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TNF-α/ TNFA/ TNFSF2,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154"/>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4</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IL-1α/ IL1F1,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95"/>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5</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IL-1β/ IL1F2,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294"/>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6</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IL-17A/ CTLA8,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25ug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80"/>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7</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BDNF,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433"/>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8</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 xml:space="preserve">FGF-2/ </w:t>
            </w:r>
            <w:proofErr w:type="spellStart"/>
            <w:r w:rsidRPr="005D3C5F">
              <w:rPr>
                <w:rFonts w:asciiTheme="minorEastAsia" w:eastAsiaTheme="minorEastAsia" w:hAnsiTheme="minorEastAsia" w:cs="Tahoma" w:hint="eastAsia"/>
                <w:color w:val="000000"/>
                <w:kern w:val="0"/>
                <w:szCs w:val="21"/>
              </w:rPr>
              <w:t>bFGF</w:t>
            </w:r>
            <w:proofErr w:type="spellEnd"/>
            <w:r w:rsidRPr="005D3C5F">
              <w:rPr>
                <w:rFonts w:asciiTheme="minorEastAsia" w:eastAsiaTheme="minorEastAsia" w:hAnsiTheme="minorEastAsia" w:cs="Tahoma" w:hint="eastAsia"/>
                <w:color w:val="000000"/>
                <w:kern w:val="0"/>
                <w:szCs w:val="21"/>
              </w:rPr>
              <w:t>/ FGF-b (K128N),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517"/>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9</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Interferon γ/ IFN-γ/ IFNG,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20ug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303"/>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10</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 xml:space="preserve">EGF/ </w:t>
            </w:r>
            <w:proofErr w:type="spellStart"/>
            <w:r w:rsidRPr="005D3C5F">
              <w:rPr>
                <w:rFonts w:asciiTheme="minorEastAsia" w:eastAsiaTheme="minorEastAsia" w:hAnsiTheme="minorEastAsia" w:cs="Tahoma" w:hint="eastAsia"/>
                <w:color w:val="000000"/>
                <w:kern w:val="0"/>
                <w:szCs w:val="21"/>
              </w:rPr>
              <w:t>Urogastrone</w:t>
            </w:r>
            <w:proofErr w:type="spellEnd"/>
            <w:r w:rsidRPr="005D3C5F">
              <w:rPr>
                <w:rFonts w:asciiTheme="minorEastAsia" w:eastAsiaTheme="minorEastAsia" w:hAnsiTheme="minorEastAsia" w:cs="Tahoma" w:hint="eastAsia"/>
                <w:color w:val="000000"/>
                <w:kern w:val="0"/>
                <w:szCs w:val="21"/>
              </w:rPr>
              <w:t>,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100ug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297"/>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11</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TNF-α/ TNFA/ TNFSF2,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50ug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r w:rsidR="005D3C5F" w:rsidRPr="009B59E6" w:rsidTr="005D3C5F">
        <w:trPr>
          <w:trHeight w:val="54"/>
          <w:jc w:val="center"/>
        </w:trPr>
        <w:tc>
          <w:tcPr>
            <w:tcW w:w="874" w:type="dxa"/>
            <w:tcBorders>
              <w:top w:val="nil"/>
              <w:left w:val="single" w:sz="8" w:space="0" w:color="auto"/>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color w:val="000000"/>
                <w:kern w:val="0"/>
                <w:szCs w:val="21"/>
              </w:rPr>
              <w:t>12</w:t>
            </w:r>
          </w:p>
        </w:tc>
        <w:tc>
          <w:tcPr>
            <w:tcW w:w="4059"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 xml:space="preserve">FGF-2/ </w:t>
            </w:r>
            <w:proofErr w:type="spellStart"/>
            <w:r w:rsidRPr="005D3C5F">
              <w:rPr>
                <w:rFonts w:asciiTheme="minorEastAsia" w:eastAsiaTheme="minorEastAsia" w:hAnsiTheme="minorEastAsia" w:cs="Tahoma" w:hint="eastAsia"/>
                <w:color w:val="000000"/>
                <w:kern w:val="0"/>
                <w:szCs w:val="21"/>
              </w:rPr>
              <w:t>bFGF</w:t>
            </w:r>
            <w:proofErr w:type="spellEnd"/>
            <w:r w:rsidRPr="005D3C5F">
              <w:rPr>
                <w:rFonts w:asciiTheme="minorEastAsia" w:eastAsiaTheme="minorEastAsia" w:hAnsiTheme="minorEastAsia" w:cs="Tahoma" w:hint="eastAsia"/>
                <w:color w:val="000000"/>
                <w:kern w:val="0"/>
                <w:szCs w:val="21"/>
              </w:rPr>
              <w:t>/ FGF-b (K128N), Human, Recombinant</w:t>
            </w:r>
          </w:p>
        </w:tc>
        <w:tc>
          <w:tcPr>
            <w:tcW w:w="87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不限</w:t>
            </w:r>
          </w:p>
        </w:tc>
        <w:tc>
          <w:tcPr>
            <w:tcW w:w="1142"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50ug</w:t>
            </w:r>
          </w:p>
        </w:tc>
        <w:tc>
          <w:tcPr>
            <w:tcW w:w="1216"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1支</w:t>
            </w:r>
          </w:p>
        </w:tc>
        <w:tc>
          <w:tcPr>
            <w:tcW w:w="2121" w:type="dxa"/>
            <w:tcBorders>
              <w:top w:val="nil"/>
              <w:left w:val="nil"/>
              <w:bottom w:val="single" w:sz="8" w:space="0" w:color="auto"/>
              <w:right w:val="single" w:sz="8" w:space="0" w:color="auto"/>
            </w:tcBorders>
            <w:shd w:val="clear" w:color="auto" w:fill="auto"/>
            <w:vAlign w:val="bottom"/>
            <w:hideMark/>
          </w:tcPr>
          <w:p w:rsidR="005D3C5F" w:rsidRPr="005D3C5F" w:rsidRDefault="005D3C5F" w:rsidP="005D3C5F">
            <w:pPr>
              <w:widowControl/>
              <w:spacing w:line="480" w:lineRule="auto"/>
              <w:jc w:val="center"/>
              <w:rPr>
                <w:rFonts w:asciiTheme="minorEastAsia" w:eastAsiaTheme="minorEastAsia" w:hAnsiTheme="minorEastAsia" w:cs="Tahoma"/>
                <w:color w:val="000000"/>
                <w:kern w:val="0"/>
                <w:szCs w:val="21"/>
              </w:rPr>
            </w:pPr>
            <w:r w:rsidRPr="005D3C5F">
              <w:rPr>
                <w:rFonts w:asciiTheme="minorEastAsia" w:eastAsiaTheme="minorEastAsia" w:hAnsiTheme="minorEastAsia" w:cs="Tahoma" w:hint="eastAsia"/>
                <w:color w:val="000000"/>
                <w:kern w:val="0"/>
                <w:szCs w:val="21"/>
              </w:rPr>
              <w:t>用于干细胞培养</w:t>
            </w:r>
          </w:p>
        </w:tc>
      </w:tr>
    </w:tbl>
    <w:p w:rsidR="000B28BA" w:rsidRPr="005D3C5F" w:rsidRDefault="000B28BA" w:rsidP="004679D3">
      <w:pPr>
        <w:pStyle w:val="a7"/>
        <w:numPr>
          <w:ilvl w:val="0"/>
          <w:numId w:val="16"/>
        </w:numPr>
        <w:spacing w:line="240" w:lineRule="auto"/>
        <w:ind w:firstLineChars="0"/>
        <w:rPr>
          <w:rFonts w:asciiTheme="minorEastAsia" w:eastAsiaTheme="minorEastAsia" w:hAnsiTheme="minorEastAsia"/>
          <w:szCs w:val="21"/>
        </w:rPr>
      </w:pPr>
      <w:r w:rsidRPr="005D3C5F">
        <w:rPr>
          <w:rFonts w:asciiTheme="minorEastAsia" w:eastAsiaTheme="minorEastAsia" w:hAnsiTheme="minorEastAsia" w:hint="eastAsia"/>
          <w:bCs/>
          <w:szCs w:val="21"/>
        </w:rPr>
        <w:t>项目招标编号：</w:t>
      </w:r>
      <w:r w:rsidRPr="005D3C5F">
        <w:rPr>
          <w:rFonts w:asciiTheme="minorEastAsia" w:eastAsiaTheme="minorEastAsia" w:hAnsiTheme="minorEastAsia"/>
          <w:bCs/>
          <w:szCs w:val="21"/>
        </w:rPr>
        <w:t>Y</w:t>
      </w:r>
      <w:r w:rsidR="002B4177" w:rsidRPr="005D3C5F">
        <w:rPr>
          <w:rFonts w:asciiTheme="minorEastAsia" w:eastAsiaTheme="minorEastAsia" w:hAnsiTheme="minorEastAsia" w:hint="eastAsia"/>
          <w:bCs/>
          <w:szCs w:val="21"/>
        </w:rPr>
        <w:t>YHC</w:t>
      </w:r>
      <w:r w:rsidRPr="005D3C5F">
        <w:rPr>
          <w:rFonts w:asciiTheme="minorEastAsia" w:eastAsiaTheme="minorEastAsia" w:hAnsiTheme="minorEastAsia"/>
          <w:bCs/>
          <w:szCs w:val="21"/>
        </w:rPr>
        <w:t>-</w:t>
      </w:r>
      <w:r w:rsidR="00DF7D6E" w:rsidRPr="005D3C5F">
        <w:rPr>
          <w:rFonts w:asciiTheme="minorEastAsia" w:eastAsiaTheme="minorEastAsia" w:hAnsiTheme="minorEastAsia" w:hint="eastAsia"/>
          <w:bCs/>
          <w:szCs w:val="21"/>
        </w:rPr>
        <w:t>L-</w:t>
      </w:r>
      <w:r w:rsidRPr="005D3C5F">
        <w:rPr>
          <w:rFonts w:asciiTheme="minorEastAsia" w:eastAsiaTheme="minorEastAsia" w:hAnsiTheme="minorEastAsia"/>
          <w:bCs/>
          <w:szCs w:val="21"/>
        </w:rPr>
        <w:t>202</w:t>
      </w:r>
      <w:r w:rsidR="004452C7" w:rsidRPr="005D3C5F">
        <w:rPr>
          <w:rFonts w:asciiTheme="minorEastAsia" w:eastAsiaTheme="minorEastAsia" w:hAnsiTheme="minorEastAsia" w:hint="eastAsia"/>
          <w:bCs/>
          <w:szCs w:val="21"/>
        </w:rPr>
        <w:t>1</w:t>
      </w:r>
      <w:r w:rsidRPr="005D3C5F">
        <w:rPr>
          <w:rFonts w:asciiTheme="minorEastAsia" w:eastAsiaTheme="minorEastAsia" w:hAnsiTheme="minorEastAsia"/>
          <w:bCs/>
          <w:szCs w:val="21"/>
        </w:rPr>
        <w:t>-</w:t>
      </w:r>
      <w:r w:rsidR="00765503" w:rsidRPr="005D3C5F">
        <w:rPr>
          <w:rFonts w:asciiTheme="minorEastAsia" w:eastAsiaTheme="minorEastAsia" w:hAnsiTheme="minorEastAsia" w:hint="eastAsia"/>
          <w:bCs/>
          <w:szCs w:val="21"/>
        </w:rPr>
        <w:t>8</w:t>
      </w:r>
      <w:r w:rsidRPr="005D3C5F">
        <w:rPr>
          <w:rFonts w:asciiTheme="minorEastAsia" w:eastAsiaTheme="minorEastAsia" w:hAnsiTheme="minorEastAsia"/>
          <w:bCs/>
          <w:szCs w:val="21"/>
        </w:rPr>
        <w:t>-</w:t>
      </w:r>
      <w:r w:rsidR="005D3C5F">
        <w:rPr>
          <w:rFonts w:asciiTheme="minorEastAsia" w:eastAsiaTheme="minorEastAsia" w:hAnsiTheme="minorEastAsia" w:hint="eastAsia"/>
          <w:bCs/>
          <w:szCs w:val="21"/>
        </w:rPr>
        <w:t>4</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lastRenderedPageBreak/>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5D3C5F">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5D3C5F">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D3C5F" w:rsidP="000B28BA">
      <w:pPr>
        <w:pStyle w:val="af1"/>
        <w:spacing w:line="276" w:lineRule="auto"/>
        <w:ind w:left="480"/>
        <w:jc w:val="center"/>
        <w:rPr>
          <w:rFonts w:ascii="宋体" w:hAnsi="宋体" w:cs="仿宋_GB2312"/>
          <w:szCs w:val="21"/>
          <w:lang w:val="zh-CN"/>
        </w:rPr>
      </w:pPr>
      <w:r w:rsidRPr="00D50A8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F93CE8">
        <w:rPr>
          <w:rFonts w:ascii="宋体" w:hAnsi="宋体" w:cs="宋体" w:hint="eastAsia"/>
          <w:kern w:val="0"/>
          <w:szCs w:val="21"/>
        </w:rPr>
        <w:t>8</w:t>
      </w:r>
      <w:r w:rsidR="00F85BF0" w:rsidRPr="00551335">
        <w:rPr>
          <w:rFonts w:ascii="宋体" w:hAnsi="宋体" w:cs="宋体"/>
          <w:kern w:val="0"/>
          <w:szCs w:val="21"/>
        </w:rPr>
        <w:t>月</w:t>
      </w:r>
      <w:r w:rsidR="00F93CE8">
        <w:rPr>
          <w:rFonts w:ascii="宋体" w:hAnsi="宋体" w:cs="宋体" w:hint="eastAsia"/>
          <w:kern w:val="0"/>
          <w:szCs w:val="21"/>
        </w:rPr>
        <w:t>1</w:t>
      </w:r>
      <w:r w:rsidR="005D3C5F">
        <w:rPr>
          <w:rFonts w:ascii="宋体" w:hAnsi="宋体" w:cs="宋体" w:hint="eastAsia"/>
          <w:kern w:val="0"/>
          <w:szCs w:val="21"/>
        </w:rPr>
        <w:t>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F93CE8">
        <w:rPr>
          <w:rFonts w:ascii="宋体" w:hAnsi="宋体" w:cs="宋体" w:hint="eastAsia"/>
          <w:szCs w:val="21"/>
        </w:rPr>
        <w:t>8</w:t>
      </w:r>
      <w:r w:rsidR="00F85BF0" w:rsidRPr="0072014D">
        <w:rPr>
          <w:rFonts w:ascii="宋体" w:hAnsi="宋体" w:cs="宋体"/>
          <w:szCs w:val="21"/>
        </w:rPr>
        <w:t>月</w:t>
      </w:r>
      <w:r w:rsidR="00F93CE8">
        <w:rPr>
          <w:rFonts w:ascii="宋体" w:hAnsi="宋体" w:cs="宋体" w:hint="eastAsia"/>
          <w:szCs w:val="21"/>
        </w:rPr>
        <w:t>1</w:t>
      </w:r>
      <w:r w:rsidR="005D3C5F">
        <w:rPr>
          <w:rFonts w:ascii="宋体" w:hAnsi="宋体" w:cs="宋体" w:hint="eastAsia"/>
          <w:szCs w:val="21"/>
        </w:rPr>
        <w:t>3</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93CE8">
        <w:rPr>
          <w:rFonts w:ascii="宋体" w:eastAsia="宋体" w:hAnsi="宋体" w:cs="宋体" w:hint="eastAsia"/>
          <w:sz w:val="21"/>
          <w:szCs w:val="21"/>
        </w:rPr>
        <w:t>8</w:t>
      </w:r>
      <w:r w:rsidRPr="00183496">
        <w:rPr>
          <w:rFonts w:ascii="宋体" w:eastAsia="宋体" w:hAnsi="宋体" w:cs="宋体" w:hint="eastAsia"/>
          <w:sz w:val="21"/>
          <w:szCs w:val="21"/>
        </w:rPr>
        <w:t>月</w:t>
      </w:r>
      <w:r w:rsidR="005D3C5F">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D52" w:rsidRDefault="00690D52" w:rsidP="0080440D">
      <w:r>
        <w:separator/>
      </w:r>
    </w:p>
  </w:endnote>
  <w:endnote w:type="continuationSeparator" w:id="0">
    <w:p w:rsidR="00690D52" w:rsidRDefault="00690D5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D52" w:rsidRDefault="00690D52" w:rsidP="0080440D">
      <w:r>
        <w:separator/>
      </w:r>
    </w:p>
  </w:footnote>
  <w:footnote w:type="continuationSeparator" w:id="0">
    <w:p w:rsidR="00690D52" w:rsidRDefault="00690D5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50A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27BD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3C5F"/>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90D5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0A2"/>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10E8"/>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0A88"/>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79C90-5C3F-42CE-8DEC-0D45F934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4</Pages>
  <Words>506</Words>
  <Characters>2888</Characters>
  <Application>Microsoft Office Word</Application>
  <DocSecurity>0</DocSecurity>
  <Lines>24</Lines>
  <Paragraphs>6</Paragraphs>
  <ScaleCrop>false</ScaleCrop>
  <Company>Sky123.Org</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2021-08-03T03:34:00Z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