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2AF4">
      <w:pPr>
        <w:pStyle w:val="3"/>
        <w:rPr>
          <w:rFonts w:hint="eastAsia" w:ascii="黑体" w:hAnsi="黑体" w:eastAsia="黑体" w:cs="黑体"/>
          <w:lang w:val="en-US" w:eastAsia="zh-CN"/>
        </w:rPr>
      </w:pPr>
      <w:r>
        <w:rPr>
          <w:rFonts w:hint="eastAsia" w:ascii="黑体" w:hAnsi="黑体" w:eastAsia="黑体" w:cs="黑体"/>
          <w:lang w:val="en-US" w:eastAsia="zh-CN"/>
        </w:rPr>
        <w:t>一、项目基本情况</w:t>
      </w:r>
    </w:p>
    <w:p w14:paraId="25EE3070">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（一）项目名称：智能尿流监护系统采购项目</w:t>
      </w:r>
    </w:p>
    <w:p w14:paraId="600F3A9D">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（二）项目预算：6.8万元</w:t>
      </w:r>
    </w:p>
    <w:p w14:paraId="49DCD8AF">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（三）项目报价类型：总价</w:t>
      </w:r>
    </w:p>
    <w:p w14:paraId="21740DF3">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（四）资金来源：政府预算资金</w:t>
      </w:r>
    </w:p>
    <w:p w14:paraId="0DEB9A54">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（八）采购类别：货物</w:t>
      </w:r>
    </w:p>
    <w:p w14:paraId="487392A3">
      <w:pPr>
        <w:pStyle w:val="3"/>
        <w:rPr>
          <w:rFonts w:hint="eastAsia" w:ascii="黑体" w:hAnsi="黑体" w:eastAsia="黑体" w:cs="黑体"/>
          <w:lang w:val="en-US" w:eastAsia="zh-CN"/>
        </w:rPr>
      </w:pPr>
      <w:r>
        <w:rPr>
          <w:rFonts w:hint="eastAsia" w:ascii="黑体" w:hAnsi="黑体" w:eastAsia="黑体" w:cs="黑体"/>
          <w:lang w:val="en-US" w:eastAsia="zh-CN"/>
        </w:rPr>
        <w:t>二、项目采购需求</w:t>
      </w:r>
    </w:p>
    <w:p w14:paraId="483BA478">
      <w:pPr>
        <w:pStyle w:val="4"/>
        <w:rPr>
          <w:rFonts w:hint="eastAsia" w:ascii="仿宋" w:hAnsi="仿宋" w:eastAsia="仿宋" w:cs="仿宋"/>
          <w:b w:val="0"/>
          <w:bCs w:val="0"/>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满足医院重症医学科对患者膀胱压力、尿量及尿流率的动态监测需求，保障数据精准（测量精度 ±2%）、患者使用便携（可随时携带走动），辅助临床判断患者肾功能、循环状态及膀胱功能，适配重症患者床旁动态监测场景，确保监测过程符合感控要求，提升临床诊疗决策的及时性与准确性。</w:t>
      </w:r>
    </w:p>
    <w:p w14:paraId="5DADFDF5">
      <w:pPr>
        <w:pStyle w:val="4"/>
        <w:rPr>
          <w:rFonts w:hint="eastAsia" w:ascii="仿宋" w:hAnsi="仿宋" w:eastAsia="仿宋" w:cs="仿宋"/>
          <w:b/>
          <w:bCs/>
          <w:sz w:val="32"/>
          <w:szCs w:val="32"/>
        </w:rPr>
      </w:pPr>
      <w:r>
        <w:rPr>
          <w:rFonts w:hint="eastAsia" w:ascii="仿宋" w:hAnsi="仿宋" w:eastAsia="仿宋" w:cs="仿宋"/>
          <w:b/>
          <w:bCs/>
          <w:sz w:val="32"/>
          <w:szCs w:val="32"/>
        </w:rPr>
        <w:t>（二）项目属性</w:t>
      </w:r>
    </w:p>
    <w:p w14:paraId="42CEF7BE">
      <w:pPr>
        <w:pStyle w:val="4"/>
        <w:rPr>
          <w:rFonts w:hint="eastAsia" w:ascii="仿宋" w:hAnsi="仿宋" w:eastAsia="仿宋" w:cs="仿宋"/>
          <w:b w:val="0"/>
          <w:bCs w:val="0"/>
          <w:sz w:val="32"/>
          <w:szCs w:val="32"/>
        </w:rPr>
      </w:pPr>
      <w:r>
        <w:rPr>
          <w:rFonts w:hint="eastAsia" w:ascii="仿宋" w:hAnsi="仿宋" w:eastAsia="仿宋" w:cs="仿宋"/>
          <w:b w:val="0"/>
          <w:bCs w:val="0"/>
          <w:sz w:val="32"/>
          <w:szCs w:val="32"/>
        </w:rPr>
        <w:t>是否适宜由中小企业提供，并专门面向中小企业采购</w:t>
      </w:r>
    </w:p>
    <w:p w14:paraId="784222FF">
      <w:pPr>
        <w:pStyle w:val="4"/>
        <w:rPr>
          <w:rFonts w:hint="eastAsia" w:ascii="仿宋" w:hAnsi="仿宋" w:eastAsia="仿宋" w:cs="仿宋"/>
          <w:b w:val="0"/>
          <w:bCs w:val="0"/>
          <w:sz w:val="32"/>
          <w:szCs w:val="32"/>
        </w:rPr>
      </w:pPr>
      <w:r>
        <w:rPr>
          <w:rFonts w:hint="eastAsia" w:ascii="仿宋" w:hAnsi="仿宋" w:eastAsia="仿宋" w:cs="仿宋"/>
          <w:b w:val="0"/>
          <w:bCs w:val="0"/>
          <w:sz w:val="32"/>
          <w:szCs w:val="32"/>
        </w:rPr>
        <w:t>（1）□是         □是否仅面向小微企业</w:t>
      </w:r>
    </w:p>
    <w:p w14:paraId="734E7623">
      <w:pPr>
        <w:pStyle w:val="4"/>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 xml:space="preserve">（2）☑否，原因说明 </w:t>
      </w:r>
      <w:r>
        <w:rPr>
          <w:rFonts w:hint="eastAsia" w:ascii="仿宋" w:hAnsi="仿宋" w:eastAsia="仿宋" w:cs="仿宋"/>
          <w:b w:val="0"/>
          <w:bCs w:val="0"/>
          <w:sz w:val="32"/>
          <w:szCs w:val="32"/>
          <w:u w:val="single"/>
        </w:rPr>
        <w:t xml:space="preserve"> 按照办法规定预留采购份额无法确保充分供应、充分竞争，或者存在可能影响政府采购目标实现的情形</w:t>
      </w:r>
    </w:p>
    <w:p w14:paraId="27F341BD">
      <w:pPr>
        <w:pStyle w:val="4"/>
        <w:rPr>
          <w:rFonts w:hint="eastAsia" w:ascii="仿宋" w:hAnsi="仿宋" w:eastAsia="仿宋" w:cs="仿宋"/>
          <w:b w:val="0"/>
          <w:bCs w:val="0"/>
          <w:sz w:val="32"/>
          <w:szCs w:val="32"/>
        </w:rPr>
      </w:pPr>
      <w:r>
        <w:rPr>
          <w:rFonts w:hint="eastAsia" w:ascii="仿宋" w:hAnsi="仿宋" w:eastAsia="仿宋" w:cs="仿宋"/>
          <w:b/>
          <w:bCs/>
          <w:sz w:val="32"/>
          <w:szCs w:val="32"/>
        </w:rPr>
        <w:t>（三）是否接受联合体投标：</w:t>
      </w:r>
      <w:r>
        <w:rPr>
          <w:rFonts w:hint="eastAsia" w:ascii="仿宋" w:hAnsi="仿宋" w:eastAsia="仿宋" w:cs="仿宋"/>
          <w:b w:val="0"/>
          <w:bCs w:val="0"/>
          <w:sz w:val="32"/>
          <w:szCs w:val="32"/>
        </w:rPr>
        <w:t xml:space="preserve">  □是</w:t>
      </w:r>
      <w:bookmarkStart w:id="0" w:name="_GoBack"/>
      <w:bookmarkEnd w:id="0"/>
      <w:r>
        <w:rPr>
          <w:rFonts w:hint="eastAsia" w:ascii="仿宋" w:hAnsi="仿宋" w:eastAsia="仿宋" w:cs="仿宋"/>
          <w:b w:val="0"/>
          <w:bCs w:val="0"/>
          <w:sz w:val="32"/>
          <w:szCs w:val="32"/>
        </w:rPr>
        <w:t xml:space="preserve">    ☑否</w:t>
      </w:r>
    </w:p>
    <w:p w14:paraId="6551E07C">
      <w:pPr>
        <w:pStyle w:val="4"/>
        <w:rPr>
          <w:rFonts w:hint="eastAsia" w:ascii="仿宋" w:hAnsi="仿宋" w:eastAsia="仿宋" w:cs="仿宋"/>
          <w:b/>
          <w:bCs/>
          <w:sz w:val="32"/>
          <w:szCs w:val="32"/>
        </w:rPr>
        <w:sectPr>
          <w:pgSz w:w="11906" w:h="16838"/>
          <w:pgMar w:top="1440" w:right="1440" w:bottom="1440" w:left="1440" w:header="708" w:footer="708" w:gutter="0"/>
          <w:cols w:space="720" w:num="1"/>
          <w:docGrid w:linePitch="360" w:charSpace="0"/>
        </w:sectPr>
      </w:pPr>
    </w:p>
    <w:p w14:paraId="3D88BA3D">
      <w:pPr>
        <w:pStyle w:val="4"/>
        <w:rPr>
          <w:rFonts w:hint="eastAsia" w:ascii="仿宋" w:hAnsi="仿宋" w:eastAsia="仿宋" w:cs="仿宋"/>
          <w:b/>
          <w:bCs/>
          <w:sz w:val="32"/>
          <w:szCs w:val="32"/>
        </w:rPr>
      </w:pPr>
      <w:r>
        <w:rPr>
          <w:rFonts w:hint="eastAsia" w:ascii="仿宋" w:hAnsi="仿宋" w:eastAsia="仿宋" w:cs="仿宋"/>
          <w:b/>
          <w:bCs/>
          <w:sz w:val="32"/>
          <w:szCs w:val="32"/>
        </w:rPr>
        <w:t>（四）采购标的汇总表</w:t>
      </w:r>
    </w:p>
    <w:p w14:paraId="7CF0FF9D">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8"/>
        <w:gridCol w:w="2432"/>
        <w:gridCol w:w="2264"/>
        <w:gridCol w:w="1975"/>
        <w:gridCol w:w="1975"/>
        <w:gridCol w:w="2058"/>
        <w:gridCol w:w="1976"/>
      </w:tblGrid>
      <w:tr w14:paraId="5BDB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683835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7A619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26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52868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9DBC33B">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E2F265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9F68EA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7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15A994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4B6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1C36F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584D19B">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智能尿流监护系统</w:t>
            </w:r>
          </w:p>
        </w:tc>
        <w:tc>
          <w:tcPr>
            <w:tcW w:w="226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8F8B97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A02320300</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1D477B">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套</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3840A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C717E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6.8</w:t>
            </w:r>
          </w:p>
        </w:tc>
        <w:tc>
          <w:tcPr>
            <w:tcW w:w="197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2149B34">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3DE772C5">
      <w:pPr>
        <w:pStyle w:val="4"/>
        <w:sectPr>
          <w:pgSz w:w="16838" w:h="11906" w:orient="landscape"/>
          <w:pgMar w:top="1440" w:right="1440" w:bottom="1440" w:left="1440" w:header="708" w:footer="708" w:gutter="0"/>
          <w:cols w:space="720" w:num="1"/>
          <w:docGrid w:linePitch="360" w:charSpace="0"/>
        </w:sectPr>
      </w:pPr>
    </w:p>
    <w:p w14:paraId="487A6878">
      <w:pPr>
        <w:pStyle w:val="4"/>
        <w:rPr>
          <w:rFonts w:hint="eastAsia" w:ascii="仿宋" w:hAnsi="仿宋" w:eastAsia="仿宋" w:cs="仿宋"/>
          <w:b/>
          <w:bCs/>
          <w:sz w:val="32"/>
          <w:szCs w:val="32"/>
        </w:rPr>
      </w:pPr>
      <w:r>
        <w:rPr>
          <w:rFonts w:hint="eastAsia" w:ascii="仿宋" w:hAnsi="仿宋" w:eastAsia="仿宋" w:cs="仿宋"/>
          <w:b/>
          <w:bCs/>
          <w:sz w:val="32"/>
          <w:szCs w:val="32"/>
        </w:rPr>
        <w:t>（五）技术要求与商务要求</w:t>
      </w:r>
    </w:p>
    <w:p w14:paraId="141AB38C">
      <w:pPr>
        <w:pStyle w:val="4"/>
        <w:rPr>
          <w:rFonts w:hint="eastAsia" w:ascii="仿宋" w:hAnsi="仿宋" w:eastAsia="仿宋" w:cs="仿宋"/>
          <w:b/>
          <w:bCs/>
          <w:sz w:val="32"/>
          <w:szCs w:val="32"/>
        </w:rPr>
      </w:pPr>
      <w:r>
        <w:rPr>
          <w:rFonts w:hint="eastAsia" w:ascii="仿宋" w:hAnsi="仿宋" w:eastAsia="仿宋" w:cs="仿宋"/>
          <w:b/>
          <w:bCs/>
          <w:sz w:val="32"/>
          <w:szCs w:val="32"/>
        </w:rPr>
        <w:t>（1）技术要求</w:t>
      </w:r>
    </w:p>
    <w:p w14:paraId="730DAD68">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23"/>
        <w:gridCol w:w="6458"/>
        <w:gridCol w:w="537"/>
      </w:tblGrid>
      <w:tr w14:paraId="502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7" w:hRule="atLeast"/>
        </w:trPr>
        <w:tc>
          <w:tcPr>
            <w:tcW w:w="2223"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AABFF48">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序号</w:t>
            </w:r>
          </w:p>
        </w:tc>
        <w:tc>
          <w:tcPr>
            <w:tcW w:w="64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57256AD">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参数</w:t>
            </w:r>
          </w:p>
        </w:tc>
        <w:tc>
          <w:tcPr>
            <w:tcW w:w="53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389F7A">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备注</w:t>
            </w:r>
          </w:p>
        </w:tc>
      </w:tr>
      <w:tr w14:paraId="6B11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80AFF21">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采购标的一</w:t>
            </w:r>
          </w:p>
        </w:tc>
        <w:tc>
          <w:tcPr>
            <w:tcW w:w="64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834AFD">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智能尿流监护系统</w:t>
            </w:r>
          </w:p>
        </w:tc>
        <w:tc>
          <w:tcPr>
            <w:tcW w:w="53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D3C894E">
            <w:pPr>
              <w:pStyle w:val="16"/>
              <w:jc w:val="left"/>
              <w:rPr>
                <w:rFonts w:hint="eastAsia" w:ascii="仿宋" w:hAnsi="仿宋" w:eastAsia="仿宋" w:cs="仿宋"/>
                <w:b w:val="0"/>
                <w:bCs w:val="0"/>
                <w:color w:val="000000"/>
                <w:sz w:val="24"/>
                <w:szCs w:val="24"/>
              </w:rPr>
            </w:pPr>
          </w:p>
        </w:tc>
      </w:tr>
      <w:tr w14:paraId="5EC6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6B8C77D">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p>
        </w:tc>
        <w:tc>
          <w:tcPr>
            <w:tcW w:w="64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9510E58">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基础功能：用于重症患者膀胱内压力监测、尿量计量及尿流率记录，需具备感控一体式设计、患者可移动携带特性，适配床旁动态监测场景；</w:t>
            </w:r>
          </w:p>
        </w:tc>
        <w:tc>
          <w:tcPr>
            <w:tcW w:w="53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06D20E2">
            <w:pPr>
              <w:pStyle w:val="16"/>
              <w:jc w:val="left"/>
              <w:rPr>
                <w:rFonts w:hint="eastAsia" w:ascii="仿宋" w:hAnsi="仿宋" w:eastAsia="仿宋" w:cs="仿宋"/>
                <w:b w:val="0"/>
                <w:bCs w:val="0"/>
                <w:color w:val="000000"/>
                <w:sz w:val="24"/>
                <w:szCs w:val="24"/>
              </w:rPr>
            </w:pPr>
          </w:p>
        </w:tc>
      </w:tr>
      <w:tr w14:paraId="2578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13"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2ECD401">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p>
        </w:tc>
        <w:tc>
          <w:tcPr>
            <w:tcW w:w="64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F6A6A2F">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核心参数：- 感控设计：采用感控一体式结构，减少交叉感染风险；- 便携性：患者可随时携带、自动走动，不限制体位活动；- 压力测定：压力测定范围 0-300mmHg，传感器精度 ±1mmHg（符合 GB 9706.1-2020）</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传感器具备安全膀胱压力控制功能（38cmH₂O 自动泄压，避免膀胱过度受压）；- 尿量测定：尿量测定范围 0-2000ml，一次性尿袋具备防逆流装置</w:t>
            </w:r>
            <w:r>
              <w:rPr>
                <w:rFonts w:hint="eastAsia" w:ascii="仿宋" w:hAnsi="仿宋" w:eastAsia="仿宋" w:cs="仿宋"/>
                <w:b w:val="0"/>
                <w:bCs w:val="0"/>
                <w:color w:val="000000"/>
                <w:sz w:val="24"/>
                <w:szCs w:val="24"/>
                <w:lang w:eastAsia="zh-CN"/>
              </w:rPr>
              <w:t>，防逆流装置需通过 ISO 80369-7 液体逆流测试（无逆流时长≥24 小时），</w:t>
            </w:r>
            <w:r>
              <w:rPr>
                <w:rFonts w:hint="eastAsia" w:ascii="仿宋" w:hAnsi="仿宋" w:eastAsia="仿宋" w:cs="仿宋"/>
                <w:b w:val="0"/>
                <w:bCs w:val="0"/>
                <w:color w:val="000000"/>
                <w:sz w:val="24"/>
                <w:szCs w:val="24"/>
              </w:rPr>
              <w:t>；- 测量精度：整体测量精度 ±2%，确保数据准确性；- 尿流率测定：尿流率测定范围 0-20ml/s，尿流率动态记录采样频率≥1 次 / 秒，支持导出 24 小时趋势图；</w:t>
            </w:r>
          </w:p>
        </w:tc>
        <w:tc>
          <w:tcPr>
            <w:tcW w:w="53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0B5774F">
            <w:pPr>
              <w:pStyle w:val="16"/>
              <w:jc w:val="left"/>
              <w:rPr>
                <w:rFonts w:hint="eastAsia" w:ascii="仿宋" w:hAnsi="仿宋" w:eastAsia="仿宋" w:cs="仿宋"/>
                <w:b w:val="0"/>
                <w:bCs w:val="0"/>
                <w:color w:val="000000"/>
                <w:sz w:val="24"/>
                <w:szCs w:val="24"/>
              </w:rPr>
            </w:pPr>
          </w:p>
        </w:tc>
      </w:tr>
      <w:tr w14:paraId="7E0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1"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512233">
            <w:pPr>
              <w:pStyle w:val="1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单套配置清单：</w:t>
            </w:r>
          </w:p>
        </w:tc>
        <w:tc>
          <w:tcPr>
            <w:tcW w:w="64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915FDF6">
            <w:pPr>
              <w:pStyle w:val="16"/>
              <w:numPr>
                <w:ilvl w:val="0"/>
                <w:numId w:val="1"/>
              </w:numPr>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感控一体式传感器（含膀胱压力感知、阀门开关控制、自动泄压功能）：1 个；</w:t>
            </w:r>
          </w:p>
          <w:p w14:paraId="3B23A505">
            <w:pPr>
              <w:pStyle w:val="16"/>
              <w:numPr>
                <w:ilvl w:val="0"/>
                <w:numId w:val="1"/>
              </w:numPr>
              <w:ind w:left="0" w:leftChars="0" w:firstLine="0" w:firstLineChars="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一次性精密尿袋（含防逆流装置、2000ml 大容量存储、1 小时 / 24 小时尿量计量刻度）：1 个；</w:t>
            </w:r>
          </w:p>
          <w:p w14:paraId="57F5193F">
            <w:pPr>
              <w:pStyle w:val="16"/>
              <w:numPr>
                <w:numId w:val="0"/>
              </w:numPr>
              <w:ind w:leftChars="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 说明书、保修卡、合格证：各 1 份；</w:t>
            </w:r>
          </w:p>
        </w:tc>
        <w:tc>
          <w:tcPr>
            <w:tcW w:w="53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7B8DD39">
            <w:pPr>
              <w:pStyle w:val="16"/>
              <w:jc w:val="left"/>
              <w:rPr>
                <w:rFonts w:hint="eastAsia" w:ascii="仿宋" w:hAnsi="仿宋" w:eastAsia="仿宋" w:cs="仿宋"/>
                <w:b w:val="0"/>
                <w:bCs w:val="0"/>
                <w:color w:val="000000"/>
                <w:sz w:val="24"/>
                <w:szCs w:val="24"/>
              </w:rPr>
            </w:pPr>
          </w:p>
        </w:tc>
      </w:tr>
    </w:tbl>
    <w:p w14:paraId="34256D6F">
      <w:pPr>
        <w:pStyle w:val="5"/>
        <w:numPr>
          <w:ilvl w:val="0"/>
          <w:numId w:val="2"/>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0"/>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6"/>
        <w:rPr>
          <w:rFonts w:hint="eastAsia" w:ascii="黑体" w:hAnsi="黑体" w:eastAsia="黑体" w:cs="黑体"/>
          <w:sz w:val="24"/>
          <w:szCs w:val="24"/>
        </w:rPr>
      </w:pPr>
    </w:p>
    <w:p w14:paraId="605795A1">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tbl>
      <w:tblPr>
        <w:tblStyle w:val="10"/>
        <w:tblpPr w:leftFromText="180" w:rightFromText="180" w:vertAnchor="text" w:horzAnchor="page" w:tblpX="1449" w:tblpY="413"/>
        <w:tblOverlap w:val="never"/>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018"/>
        <w:gridCol w:w="7562"/>
      </w:tblGrid>
      <w:tr w14:paraId="0F9B75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A6E10D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4A1373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要求</w:t>
            </w:r>
          </w:p>
        </w:tc>
      </w:tr>
      <w:tr w14:paraId="284C717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2D6634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26F99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投标人具有独立法人资格，持有《营业执照》（或 “三证合一”《营业执照》），经营范围包含本项目相关内容（提供证明扫描件，原件备查）；</w:t>
            </w:r>
          </w:p>
        </w:tc>
      </w:tr>
      <w:tr w14:paraId="2BE5AAE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7CBCBB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9A735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4992BF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1F48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87D5E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进口产品（本项目无）需提供制造商 / 合法代理商 / 授权投标人证明扫描件、制造商 / 中国总代理签署的有效保修维修承诺函（满足招标文件保修期要求）；国产产品无需提供；</w:t>
            </w:r>
          </w:p>
        </w:tc>
      </w:tr>
      <w:tr w14:paraId="50140B6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69DBB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532516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投标人承诺：参与本项目投标前 3 年内经营活动无重大违法记录，不存在被禁止参与政府采购活动且在有效期内的情形（提供承诺函）；</w:t>
            </w:r>
          </w:p>
        </w:tc>
      </w:tr>
      <w:tr w14:paraId="46A4A19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13002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036136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本项目不接受进口产品参与；</w:t>
            </w:r>
          </w:p>
        </w:tc>
      </w:tr>
      <w:tr w14:paraId="352740D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A70418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4DDEE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本项目不接受联合体投标。</w:t>
            </w:r>
          </w:p>
        </w:tc>
      </w:tr>
    </w:tbl>
    <w:p w14:paraId="2D82BA13">
      <w:pPr>
        <w:pStyle w:val="16"/>
        <w:rPr>
          <w:rFonts w:hint="eastAsia" w:ascii="仿宋" w:hAnsi="仿宋" w:eastAsia="仿宋" w:cs="仿宋"/>
          <w:sz w:val="24"/>
          <w:szCs w:val="24"/>
        </w:rPr>
      </w:pPr>
    </w:p>
    <w:p w14:paraId="2D8354FB">
      <w:pPr>
        <w:pStyle w:val="17"/>
        <w:pBdr>
          <w:left w:val="single" w:color="BBBFC4" w:sz="18" w:space="0"/>
        </w:pBdr>
      </w:pPr>
    </w:p>
    <w:p w14:paraId="3486DCF6">
      <w:pPr>
        <w:pStyle w:val="17"/>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abstractNum w:abstractNumId="1">
    <w:nsid w:val="D376FCE4"/>
    <w:multiLevelType w:val="singleLevel"/>
    <w:tmpl w:val="D376FCE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20D31CC"/>
    <w:rsid w:val="15A25946"/>
    <w:rsid w:val="2E251C60"/>
    <w:rsid w:val="34EA2C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1003</Words>
  <Characters>1085</Characters>
  <TotalTime>2</TotalTime>
  <ScaleCrop>false</ScaleCrop>
  <LinksUpToDate>false</LinksUpToDate>
  <CharactersWithSpaces>1140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2025-10-17T03:23:00Z</dcterms:created>
  <dc:creator>Un-named</dc:creator>
  <cp:lastModifiedBy>JH</cp:lastModifiedBy>
  <dcterms:modified xsi:type="dcterms:W3CDTF">2025-10-20T03:13:44Z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2052-12.1.0.23125</vt:lpwstr>
  </property>
  <property fmtid="{D5CDD505-2E9C-101B-9397-08002B2CF9AE}" pid="4" name="ICV">
    <vt:lpwstr>23D7D696BE0646018209BE0A7390E962_13</vt:lpwstr>
  </property>
</Properties>
</file>