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6"/>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D4C6DB9">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深圳市前海蛇口自贸区医院放射防护检测服务项目</w:t>
      </w:r>
    </w:p>
    <w:p w14:paraId="3159F1BD">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19.2</w:t>
      </w:r>
      <w:r>
        <w:rPr>
          <w:rFonts w:hint="eastAsia" w:ascii="仿宋_GB2312" w:hAnsi="仿宋_GB2312" w:eastAsia="仿宋_GB2312" w:cs="仿宋_GB2312"/>
          <w:kern w:val="0"/>
          <w:sz w:val="28"/>
          <w:szCs w:val="28"/>
        </w:rPr>
        <w:t>万元</w:t>
      </w:r>
    </w:p>
    <w:p w14:paraId="752E2AC0">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43A2033A">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0444FBD3">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394FBE4B">
      <w:pPr>
        <w:pStyle w:val="16"/>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6"/>
        <w:widowControl/>
        <w:numPr>
          <w:ilvl w:val="0"/>
          <w:numId w:val="0"/>
        </w:numPr>
        <w:spacing w:line="360" w:lineRule="auto"/>
        <w:ind w:leftChars="0"/>
        <w:jc w:val="left"/>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）采购项目需实现的功能和目标：</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为严格遵守国家及地方的放射防护法律法规、标准规范，确保医患人员及公众的辐射安全，保障放射设备性能质量，并履行医疗机构的社会责任，拟</w:t>
      </w:r>
      <w:r>
        <w:rPr>
          <w:rFonts w:hint="eastAsia" w:ascii="仿宋_GB2312" w:hAnsi="仿宋_GB2312" w:eastAsia="仿宋_GB2312" w:cs="仿宋_GB2312"/>
          <w:color w:val="000000" w:themeColor="text1"/>
          <w:sz w:val="28"/>
          <w:szCs w:val="28"/>
          <w:u w:val="single"/>
          <w14:textFill>
            <w14:solidFill>
              <w14:schemeClr w14:val="tx1"/>
            </w14:solidFill>
          </w14:textFill>
        </w:rPr>
        <w:t>通过招预选供应商的方式确定技术服务机构，</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获取具有法律效力的、官方认可的检测报告，应对定期的行政监督检测，确保医院放射诊疗业务的合法运营。</w:t>
      </w:r>
    </w:p>
    <w:p w14:paraId="18BB3F1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是         □是否仅面向小微企业</w:t>
      </w:r>
    </w:p>
    <w:p w14:paraId="41D03029">
      <w:pPr>
        <w:numPr>
          <w:ilvl w:val="0"/>
          <w:numId w:val="4"/>
        </w:numPr>
        <w:spacing w:line="360" w:lineRule="auto"/>
        <w:ind w:left="425" w:leftChars="0" w:hanging="425" w:firstLineChars="0"/>
        <w:rPr>
          <w:rFonts w:ascii="仿宋" w:hAnsi="仿宋" w:eastAsia="仿宋"/>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□否，原因说明</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lang w:eastAsia="zh-CN"/>
          <w14:textFill>
            <w14:solidFill>
              <w14:schemeClr w14:val="tx1"/>
            </w14:solidFill>
          </w14:textFill>
        </w:rPr>
        <w:t>。</w:t>
      </w:r>
    </w:p>
    <w:p w14:paraId="55EE44AB">
      <w:pPr>
        <w:numPr>
          <w:ilvl w:val="0"/>
          <w:numId w:val="5"/>
        </w:num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是否接受</w:t>
      </w:r>
      <w:r>
        <w:rPr>
          <w:rFonts w:hint="eastAsia" w:ascii="仿宋_GB2312" w:hAnsi="仿宋_GB2312" w:eastAsia="仿宋_GB2312" w:cs="仿宋_GB2312"/>
          <w:b/>
          <w:bCs/>
          <w:color w:val="000000" w:themeColor="text1"/>
          <w:sz w:val="28"/>
          <w:szCs w:val="28"/>
          <w14:textFill>
            <w14:solidFill>
              <w14:schemeClr w14:val="tx1"/>
            </w14:solidFill>
          </w14:textFill>
        </w:rPr>
        <w:t>联合体投标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否</w:t>
      </w:r>
    </w:p>
    <w:p w14:paraId="364C7258">
      <w:pPr>
        <w:spacing w:line="360" w:lineRule="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14:textFill>
            <w14:solidFill>
              <w14:schemeClr w14:val="tx1"/>
            </w14:solidFill>
          </w14:textFill>
        </w:rPr>
        <w:t>）采购标的汇总表</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p>
    <w:tbl>
      <w:tblPr>
        <w:tblStyle w:val="9"/>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其他生态环境治理服务</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C07029900</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项</w:t>
            </w:r>
          </w:p>
        </w:tc>
        <w:tc>
          <w:tcPr>
            <w:tcW w:w="968"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19.2万</w:t>
            </w:r>
          </w:p>
        </w:tc>
      </w:tr>
    </w:tbl>
    <w:p w14:paraId="41A3BAB0">
      <w:pPr>
        <w:numPr>
          <w:ilvl w:val="0"/>
          <w:numId w:val="0"/>
        </w:numP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按照规定及项目情况设置投标供应商资格要求：</w:t>
      </w:r>
    </w:p>
    <w:p w14:paraId="5B90FF3D">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EA2B56B">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2.本项目不接受联合体投标（由供应商在《政府采购投标及履约承诺函》中作出声明）</w:t>
      </w:r>
    </w:p>
    <w:p w14:paraId="041DC515">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3.参与本项目政府采购活动时不存在被有关部门禁止参与政府采购活动且在有效期内的情况（由供应商在《政府采购投标及履约承诺函》中作出声明）；</w:t>
      </w:r>
    </w:p>
    <w:p w14:paraId="0F25BA54">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4.未被列入失信被执行人、重大税收违法案件当事人名单、政府采购严重违法失信行为记录名单（由供应商在《政府采购投标及履约承诺函》中作出声明）；</w:t>
      </w:r>
    </w:p>
    <w:p w14:paraId="1DB7E16B">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5.不存在《深圳市财政局政府采购供应商信用信息管理办法》（深财规〔2023〕3号）列明的严重违法失信行为（由供应商在《政府采购投标及履约承诺函》中作出声明）；</w:t>
      </w:r>
    </w:p>
    <w:p w14:paraId="6B718630">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22DAF7BB">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7.供应商</w:t>
      </w:r>
      <w:r>
        <w:rPr>
          <w:rFonts w:hint="eastAsia" w:ascii="仿宋_GB2312" w:hAnsi="仿宋_GB2312" w:eastAsia="仿宋_GB2312" w:cs="仿宋_GB2312"/>
          <w:color w:val="000000" w:themeColor="text1"/>
          <w:sz w:val="28"/>
          <w:szCs w:val="28"/>
          <w14:textFill>
            <w14:solidFill>
              <w14:schemeClr w14:val="tx1"/>
            </w14:solidFill>
          </w14:textFill>
        </w:rPr>
        <w:t>应持有《放射卫生技术服务机构资质证书》，且技术服务范围包括放射诊疗建设项目职业病危害放射防护评价、放射卫生防护检测、个人剂量监测，提供有效期内资质证书的复印件或扫描件加盖投标人公章</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39B1D5EE">
      <w:pPr>
        <w:numPr>
          <w:ilvl w:val="0"/>
          <w:numId w:val="0"/>
        </w:numPr>
        <w:spacing w:line="360" w:lineRule="auto"/>
        <w:ind w:leftChars="0" w:firstLine="560" w:firstLineChars="200"/>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8.供应商</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须持有省级或以上市场监督管理局颁发的且在有效期内的检验检测机构资质认定证书（CMA），且资质认定能力附表至少包含相关检测项目（电离辐射）。（提供认证证书复印件，加盖公章）。</w:t>
      </w:r>
    </w:p>
    <w:p w14:paraId="4EEEB5CB">
      <w:pPr>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技术</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服务</w:t>
      </w:r>
      <w:r>
        <w:rPr>
          <w:rFonts w:hint="eastAsia" w:ascii="仿宋_GB2312" w:hAnsi="仿宋_GB2312" w:eastAsia="仿宋_GB2312" w:cs="仿宋_GB2312"/>
          <w:b/>
          <w:bCs/>
          <w:color w:val="000000" w:themeColor="text1"/>
          <w:sz w:val="28"/>
          <w:szCs w:val="28"/>
          <w14:textFill>
            <w14:solidFill>
              <w14:schemeClr w14:val="tx1"/>
            </w14:solidFill>
          </w14:textFill>
        </w:rPr>
        <w:t>要求与商务要求</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p>
    <w:p w14:paraId="3FEA7243">
      <w:pPr>
        <w:numPr>
          <w:ilvl w:val="0"/>
          <w:numId w:val="6"/>
        </w:numPr>
        <w:ind w:left="425" w:leftChars="0" w:hanging="425"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技术要求</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A80CC2C">
      <w:pPr>
        <w:pStyle w:val="5"/>
        <w:ind w:firstLine="0" w:firstLineChars="0"/>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lang w:eastAsia="zh-CN"/>
          <w14:textFill>
            <w14:solidFill>
              <w14:schemeClr w14:val="tx1"/>
            </w14:solidFill>
          </w14:textFill>
        </w:rPr>
        <w:t>对医院全院放射设备及场所进行年度检测，包括设备性能和场所防护。检测报告标准需现行有效且符合环保卫生监督部门要求。编制符合环保要求的年度总结报告。防护和辐射监测报告需盖CMA章。维护“全国核技术利用申报系统”和“深圳智慧卫监”平台信息；</w:t>
      </w:r>
    </w:p>
    <w:p w14:paraId="3FCD6BF8">
      <w:pPr>
        <w:numPr>
          <w:ilvl w:val="-1"/>
          <w:numId w:val="0"/>
        </w:numPr>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完成医院新改扩建项目的预评价和控制效果评价，核技术利用项目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环境影响评价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与</w:t>
      </w:r>
      <w:r>
        <w:rPr>
          <w:rFonts w:hint="eastAsia" w:ascii="仿宋_GB2312" w:hAnsi="仿宋_GB2312" w:eastAsia="仿宋_GB2312" w:cs="仿宋_GB2312"/>
          <w:color w:val="000000" w:themeColor="text1"/>
          <w:sz w:val="28"/>
          <w:szCs w:val="28"/>
          <w14:textFill>
            <w14:solidFill>
              <w14:schemeClr w14:val="tx1"/>
            </w14:solidFill>
          </w14:textFill>
        </w:rPr>
        <w:t>验收，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以及</w:t>
      </w:r>
      <w:r>
        <w:rPr>
          <w:rFonts w:hint="eastAsia" w:ascii="仿宋_GB2312" w:hAnsi="仿宋_GB2312" w:eastAsia="仿宋_GB2312" w:cs="仿宋_GB2312"/>
          <w:color w:val="000000" w:themeColor="text1"/>
          <w:sz w:val="28"/>
          <w:szCs w:val="28"/>
          <w14:textFill>
            <w14:solidFill>
              <w14:schemeClr w14:val="tx1"/>
            </w14:solidFill>
          </w14:textFill>
        </w:rPr>
        <w:t>完成《辐射安全许可证》、《放射诊疗许可证》等行政审批；</w:t>
      </w:r>
    </w:p>
    <w:p w14:paraId="5D06CDE6">
      <w:pPr>
        <w:numPr>
          <w:ilvl w:val="-1"/>
          <w:numId w:val="0"/>
        </w:numPr>
        <w:spacing w:line="360" w:lineRule="auto"/>
        <w:ind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完成医院放射工作人员剂量监测，按时收发并出具检测报告，同时维护“全国核技术利用申报系统”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w:t>
      </w:r>
      <w:r>
        <w:rPr>
          <w:rFonts w:hint="eastAsia" w:ascii="仿宋_GB2312" w:hAnsi="仿宋_GB2312" w:eastAsia="仿宋_GB2312" w:cs="仿宋_GB2312"/>
          <w:color w:val="000000" w:themeColor="text1"/>
          <w:sz w:val="28"/>
          <w:szCs w:val="28"/>
          <w14:textFill>
            <w14:solidFill>
              <w14:schemeClr w14:val="tx1"/>
            </w14:solidFill>
          </w14:textFill>
        </w:rPr>
        <w:t>“深圳智慧卫监”平台信息；</w:t>
      </w:r>
    </w:p>
    <w:p w14:paraId="2BE7B5C2">
      <w:pPr>
        <w:numPr>
          <w:ilvl w:val="0"/>
          <w:numId w:val="0"/>
        </w:numPr>
        <w:spacing w:line="360" w:lineRule="auto"/>
        <w:ind w:leftChars="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需提供的</w:t>
      </w:r>
      <w:r>
        <w:rPr>
          <w:rFonts w:hint="eastAsia" w:ascii="仿宋_GB2312" w:hAnsi="仿宋_GB2312" w:eastAsia="仿宋_GB2312" w:cs="仿宋_GB2312"/>
          <w:color w:val="000000" w:themeColor="text1"/>
          <w:sz w:val="28"/>
          <w:szCs w:val="28"/>
          <w14:textFill>
            <w14:solidFill>
              <w14:schemeClr w14:val="tx1"/>
            </w14:solidFill>
          </w14:textFill>
        </w:rPr>
        <w:t>服务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内容:</w:t>
      </w:r>
    </w:p>
    <w:p w14:paraId="73C8CF01">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（1）放射设备年度防护和性能检测。</w:t>
      </w:r>
    </w:p>
    <w:p w14:paraId="5A8E4843">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（2）放射工作人员个人剂量监测。</w:t>
      </w:r>
    </w:p>
    <w:p w14:paraId="18577AFB">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（3）放射设备前期图纸规划、环境咨询等相关工作。</w:t>
      </w:r>
    </w:p>
    <w:p w14:paraId="5CBE4F5F">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（4）新、改和扩建放射诊疗项目职业病危害预评价、放射防护控制效果评价。</w:t>
      </w:r>
    </w:p>
    <w:p w14:paraId="078062FA">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（5）新、改和扩建放射诊疗项目环境影响评价、备案及竣工验收。</w:t>
      </w:r>
    </w:p>
    <w:p w14:paraId="24E68C11">
      <w:pPr>
        <w:numPr>
          <w:ilvl w:val="0"/>
          <w:numId w:val="0"/>
        </w:numPr>
        <w:spacing w:line="360" w:lineRule="auto"/>
        <w:ind w:firstLine="280" w:firstLineChars="100"/>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（6）免费协助办理《放射诊疗许可证》、《辐射安全许可证》变更及校验、环境咨询等相关工作。免费协助办理《放射人员工作证》。</w:t>
      </w:r>
    </w:p>
    <w:p w14:paraId="74276FFE">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（8）每年免费为院方提供放射技术服务（如协助迎接放射及环保检查、应急检测）和技术咨询（如项目前期规划图纸审核）等服务。</w:t>
      </w:r>
    </w:p>
    <w:p w14:paraId="7C6A1EC7">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（9）放射设备重要零件更换</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后、</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机房防护设施更换后免费检测，出现复检情况，免费复检。</w:t>
      </w:r>
    </w:p>
    <w:p w14:paraId="7F11B92A">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（10）每年对院方《放射诊疗管理系统》、《核技术利用辐射安全申报系统》和《深圳智慧卫监平台》相关信息及时进行免费维护、更新。</w:t>
      </w:r>
    </w:p>
    <w:p w14:paraId="13BB0F53">
      <w:pPr>
        <w:numPr>
          <w:ilvl w:val="0"/>
          <w:numId w:val="0"/>
        </w:numPr>
        <w:spacing w:line="360" w:lineRule="auto"/>
        <w:ind w:leftChars="0"/>
        <w:rPr>
          <w:rFonts w:hint="eastAsia"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五、根据院方要求，对服务内容</w:t>
      </w:r>
      <w:r>
        <w:rPr>
          <w:rFonts w:hint="eastAsia" w:ascii="仿宋_GB2312" w:hAnsi="仿宋_GB2312" w:eastAsia="仿宋_GB2312" w:cs="仿宋_GB2312"/>
          <w:color w:val="000000" w:themeColor="text1"/>
          <w:sz w:val="28"/>
          <w:szCs w:val="28"/>
          <w14:textFill>
            <w14:solidFill>
              <w14:schemeClr w14:val="tx1"/>
            </w14:solidFill>
          </w14:textFill>
        </w:rPr>
        <w:t>须提供24小时内应急响应服务检测，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紧急情况下</w:t>
      </w:r>
      <w:r>
        <w:rPr>
          <w:rFonts w:hint="eastAsia" w:ascii="仿宋_GB2312" w:hAnsi="仿宋_GB2312" w:eastAsia="仿宋_GB2312" w:cs="仿宋_GB2312"/>
          <w:color w:val="000000" w:themeColor="text1"/>
          <w:sz w:val="28"/>
          <w:szCs w:val="28"/>
          <w14:textFill>
            <w14:solidFill>
              <w14:schemeClr w14:val="tx1"/>
            </w14:solidFill>
          </w14:textFill>
        </w:rPr>
        <w:t>2小时内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w:t>
      </w:r>
      <w:r>
        <w:rPr>
          <w:rFonts w:hint="eastAsia" w:ascii="仿宋_GB2312" w:hAnsi="仿宋_GB2312" w:eastAsia="仿宋_GB2312" w:cs="仿宋_GB2312"/>
          <w:color w:val="000000" w:themeColor="text1"/>
          <w:sz w:val="28"/>
          <w:szCs w:val="28"/>
          <w14:textFill>
            <w14:solidFill>
              <w14:schemeClr w14:val="tx1"/>
            </w14:solidFill>
          </w14:textFill>
        </w:rPr>
        <w:t>应急现场技术咨询服务</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59355F00">
      <w:pPr>
        <w:numPr>
          <w:ilvl w:val="-1"/>
          <w:numId w:val="0"/>
        </w:numPr>
        <w:spacing w:line="340" w:lineRule="exact"/>
        <w:ind w:left="0" w:leftChars="0" w:firstLine="0" w:firstLineChars="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1C0DD381">
      <w:pPr>
        <w:numPr>
          <w:ilvl w:val="-1"/>
          <w:numId w:val="0"/>
        </w:numPr>
        <w:spacing w:line="340" w:lineRule="exact"/>
        <w:ind w:left="0" w:leftChars="0" w:firstLine="0" w:firstLineChars="0"/>
        <w:jc w:val="left"/>
        <w:rPr>
          <w:rFonts w:hint="eastAsia"/>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附：需要检测的设备名称及数量、剂量计数量及预计开展的项目</w:t>
      </w:r>
      <w:r>
        <w:rPr>
          <w:rFonts w:hint="eastAsia" w:ascii="仿宋_GB2312" w:hAnsi="仿宋_GB2312" w:eastAsia="仿宋_GB2312" w:cs="仿宋_GB2312"/>
          <w:color w:val="000000" w:themeColor="text1"/>
          <w:sz w:val="28"/>
          <w:szCs w:val="28"/>
          <w14:textFill>
            <w14:solidFill>
              <w14:schemeClr w14:val="tx1"/>
            </w14:solidFill>
          </w14:textFill>
        </w:rPr>
        <w:t>（具体以实际情况为准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4"/>
        <w:gridCol w:w="1237"/>
        <w:gridCol w:w="1215"/>
        <w:gridCol w:w="1695"/>
        <w:gridCol w:w="1276"/>
      </w:tblGrid>
      <w:tr w14:paraId="7ACE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14:paraId="4FFC780C">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2374" w:type="dxa"/>
            <w:vAlign w:val="center"/>
          </w:tcPr>
          <w:p w14:paraId="371CD6A1">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服务类别</w:t>
            </w:r>
          </w:p>
        </w:tc>
        <w:tc>
          <w:tcPr>
            <w:tcW w:w="1237" w:type="dxa"/>
            <w:vAlign w:val="center"/>
          </w:tcPr>
          <w:p w14:paraId="595CB198">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设备类型</w:t>
            </w:r>
          </w:p>
        </w:tc>
        <w:tc>
          <w:tcPr>
            <w:tcW w:w="1215" w:type="dxa"/>
            <w:vAlign w:val="center"/>
          </w:tcPr>
          <w:p w14:paraId="2DED1AF8">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数量</w:t>
            </w:r>
          </w:p>
        </w:tc>
        <w:tc>
          <w:tcPr>
            <w:tcW w:w="1695" w:type="dxa"/>
          </w:tcPr>
          <w:p w14:paraId="553746C1">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单个设备</w:t>
            </w:r>
            <w:r>
              <w:rPr>
                <w:rFonts w:hint="eastAsia" w:ascii="仿宋_GB2312" w:hAnsi="仿宋_GB2312" w:eastAsia="仿宋_GB2312" w:cs="仿宋_GB2312"/>
                <w:color w:val="000000" w:themeColor="text1"/>
                <w:szCs w:val="21"/>
                <w:lang w:val="en-US" w:eastAsia="zh-CN"/>
                <w14:textFill>
                  <w14:solidFill>
                    <w14:schemeClr w14:val="tx1"/>
                  </w14:solidFill>
                </w14:textFill>
              </w:rPr>
              <w:t>检测</w:t>
            </w:r>
            <w:r>
              <w:rPr>
                <w:rFonts w:hint="eastAsia" w:ascii="仿宋_GB2312" w:hAnsi="仿宋_GB2312" w:eastAsia="仿宋_GB2312" w:cs="仿宋_GB2312"/>
                <w:color w:val="000000" w:themeColor="text1"/>
                <w:szCs w:val="21"/>
                <w14:textFill>
                  <w14:solidFill>
                    <w14:schemeClr w14:val="tx1"/>
                  </w14:solidFill>
                </w14:textFill>
              </w:rPr>
              <w:t>报价（元）</w:t>
            </w:r>
          </w:p>
        </w:tc>
        <w:tc>
          <w:tcPr>
            <w:tcW w:w="1276" w:type="dxa"/>
          </w:tcPr>
          <w:p w14:paraId="5FC2CFD7">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总报价（元）</w:t>
            </w:r>
          </w:p>
        </w:tc>
      </w:tr>
      <w:tr w14:paraId="24BE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320DA2">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2374" w:type="dxa"/>
            <w:vMerge w:val="restart"/>
            <w:vAlign w:val="center"/>
          </w:tcPr>
          <w:p w14:paraId="454CAEA3">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p w14:paraId="12863663">
            <w:pPr>
              <w:jc w:val="center"/>
              <w:rPr>
                <w:rFonts w:hint="eastAsia" w:ascii="仿宋_GB2312" w:hAnsi="仿宋_GB2312" w:eastAsia="仿宋_GB2312" w:cs="仿宋_GB2312"/>
                <w:color w:val="000000" w:themeColor="text1"/>
                <w:szCs w:val="21"/>
                <w14:textFill>
                  <w14:solidFill>
                    <w14:schemeClr w14:val="tx1"/>
                  </w14:solidFill>
                </w14:textFill>
              </w:rPr>
            </w:pPr>
          </w:p>
          <w:p w14:paraId="614638CB">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年度机房防护检测、设备性能检测</w:t>
            </w:r>
          </w:p>
          <w:p w14:paraId="122C23E1">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553B9C6C">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CT</w:t>
            </w:r>
          </w:p>
        </w:tc>
        <w:tc>
          <w:tcPr>
            <w:tcW w:w="1215" w:type="dxa"/>
            <w:vAlign w:val="center"/>
          </w:tcPr>
          <w:p w14:paraId="11C71483">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3台</w:t>
            </w:r>
          </w:p>
        </w:tc>
        <w:tc>
          <w:tcPr>
            <w:tcW w:w="1695" w:type="dxa"/>
          </w:tcPr>
          <w:p w14:paraId="7B840324">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1EB099A3">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7B00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3BD2541">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2374" w:type="dxa"/>
            <w:vMerge w:val="continue"/>
            <w:vAlign w:val="center"/>
          </w:tcPr>
          <w:p w14:paraId="2877916E">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53EDBED9">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C臂</w:t>
            </w:r>
          </w:p>
        </w:tc>
        <w:tc>
          <w:tcPr>
            <w:tcW w:w="1215" w:type="dxa"/>
            <w:vAlign w:val="center"/>
          </w:tcPr>
          <w:p w14:paraId="66342CD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695" w:type="dxa"/>
          </w:tcPr>
          <w:p w14:paraId="20E9910E">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111F4DAB">
            <w:pPr>
              <w:spacing w:line="276" w:lineRule="auto"/>
              <w:jc w:val="both"/>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 xml:space="preserve">     </w:t>
            </w:r>
          </w:p>
        </w:tc>
      </w:tr>
      <w:tr w14:paraId="4BAE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47EDA55">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2374" w:type="dxa"/>
            <w:vMerge w:val="continue"/>
            <w:vAlign w:val="center"/>
          </w:tcPr>
          <w:p w14:paraId="7FC78036">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697B11BF">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DR</w:t>
            </w:r>
          </w:p>
        </w:tc>
        <w:tc>
          <w:tcPr>
            <w:tcW w:w="1215" w:type="dxa"/>
            <w:vAlign w:val="center"/>
          </w:tcPr>
          <w:p w14:paraId="6A70DCC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695" w:type="dxa"/>
          </w:tcPr>
          <w:p w14:paraId="4C97ED89">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09ACD985">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638B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1A4005">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2374" w:type="dxa"/>
            <w:vMerge w:val="continue"/>
            <w:vAlign w:val="center"/>
          </w:tcPr>
          <w:p w14:paraId="219BC009">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60748FED">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DSA</w:t>
            </w:r>
          </w:p>
        </w:tc>
        <w:tc>
          <w:tcPr>
            <w:tcW w:w="1215" w:type="dxa"/>
            <w:vAlign w:val="center"/>
          </w:tcPr>
          <w:p w14:paraId="155C0D8F">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695" w:type="dxa"/>
          </w:tcPr>
          <w:p w14:paraId="6E8ECBCE">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2B880C7F">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78AD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C010BD">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w:t>
            </w:r>
          </w:p>
        </w:tc>
        <w:tc>
          <w:tcPr>
            <w:tcW w:w="2374" w:type="dxa"/>
            <w:vMerge w:val="continue"/>
            <w:vAlign w:val="center"/>
          </w:tcPr>
          <w:p w14:paraId="63855F79">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30E7BD1C">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骨密度仪</w:t>
            </w:r>
          </w:p>
        </w:tc>
        <w:tc>
          <w:tcPr>
            <w:tcW w:w="1215" w:type="dxa"/>
            <w:vAlign w:val="center"/>
          </w:tcPr>
          <w:p w14:paraId="61BC0469">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1台</w:t>
            </w:r>
          </w:p>
        </w:tc>
        <w:tc>
          <w:tcPr>
            <w:tcW w:w="1695" w:type="dxa"/>
          </w:tcPr>
          <w:p w14:paraId="7D90097C">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1FE702A6">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469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05B2179">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w:t>
            </w:r>
          </w:p>
        </w:tc>
        <w:tc>
          <w:tcPr>
            <w:tcW w:w="2374" w:type="dxa"/>
            <w:vMerge w:val="continue"/>
            <w:vAlign w:val="center"/>
          </w:tcPr>
          <w:p w14:paraId="005CBC23">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2B0DC673">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口腔CT</w:t>
            </w:r>
          </w:p>
        </w:tc>
        <w:tc>
          <w:tcPr>
            <w:tcW w:w="1215" w:type="dxa"/>
            <w:vAlign w:val="center"/>
          </w:tcPr>
          <w:p w14:paraId="5F8E8C8A">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4台</w:t>
            </w:r>
          </w:p>
        </w:tc>
        <w:tc>
          <w:tcPr>
            <w:tcW w:w="1695" w:type="dxa"/>
          </w:tcPr>
          <w:p w14:paraId="5979203A">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71C61F99">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1429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75" w:type="dxa"/>
            <w:vAlign w:val="center"/>
          </w:tcPr>
          <w:p w14:paraId="6C2B1C43">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w:t>
            </w:r>
          </w:p>
        </w:tc>
        <w:tc>
          <w:tcPr>
            <w:tcW w:w="2374" w:type="dxa"/>
            <w:vMerge w:val="continue"/>
            <w:vAlign w:val="center"/>
          </w:tcPr>
          <w:p w14:paraId="7B2982A8">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7E4CF617">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乳腺钼靶</w:t>
            </w:r>
          </w:p>
        </w:tc>
        <w:tc>
          <w:tcPr>
            <w:tcW w:w="1215" w:type="dxa"/>
            <w:vAlign w:val="center"/>
          </w:tcPr>
          <w:p w14:paraId="51E9F004">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695" w:type="dxa"/>
          </w:tcPr>
          <w:p w14:paraId="46EEC6AC">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34C51198">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7F2D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C10FDB">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2374" w:type="dxa"/>
            <w:vMerge w:val="continue"/>
            <w:vAlign w:val="center"/>
          </w:tcPr>
          <w:p w14:paraId="7C5502D9">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74670381">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胃肠机</w:t>
            </w:r>
          </w:p>
        </w:tc>
        <w:tc>
          <w:tcPr>
            <w:tcW w:w="1215" w:type="dxa"/>
            <w:vAlign w:val="center"/>
          </w:tcPr>
          <w:p w14:paraId="0B9BC7D2">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1台</w:t>
            </w:r>
          </w:p>
        </w:tc>
        <w:tc>
          <w:tcPr>
            <w:tcW w:w="1695" w:type="dxa"/>
          </w:tcPr>
          <w:p w14:paraId="776E1AC5">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27766FF8">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1CD2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DA4603">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w:t>
            </w:r>
          </w:p>
        </w:tc>
        <w:tc>
          <w:tcPr>
            <w:tcW w:w="2374" w:type="dxa"/>
            <w:vMerge w:val="continue"/>
            <w:vAlign w:val="center"/>
          </w:tcPr>
          <w:p w14:paraId="7BD30797">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4AAD3437">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牙片机</w:t>
            </w:r>
          </w:p>
        </w:tc>
        <w:tc>
          <w:tcPr>
            <w:tcW w:w="1215" w:type="dxa"/>
            <w:vAlign w:val="center"/>
          </w:tcPr>
          <w:p w14:paraId="084615A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2台</w:t>
            </w:r>
          </w:p>
        </w:tc>
        <w:tc>
          <w:tcPr>
            <w:tcW w:w="1695" w:type="dxa"/>
          </w:tcPr>
          <w:p w14:paraId="07F80BE9">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0BEB88A6">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518C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793065">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w:t>
            </w:r>
          </w:p>
        </w:tc>
        <w:tc>
          <w:tcPr>
            <w:tcW w:w="2374" w:type="dxa"/>
            <w:vMerge w:val="continue"/>
            <w:vAlign w:val="center"/>
          </w:tcPr>
          <w:p w14:paraId="2902EDC2">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426C4A2A">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移动CT</w:t>
            </w:r>
          </w:p>
        </w:tc>
        <w:tc>
          <w:tcPr>
            <w:tcW w:w="1215" w:type="dxa"/>
            <w:vAlign w:val="center"/>
          </w:tcPr>
          <w:p w14:paraId="25DEB02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695" w:type="dxa"/>
          </w:tcPr>
          <w:p w14:paraId="04900D30">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2259B951">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5057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30DCA2A">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2374" w:type="dxa"/>
            <w:vMerge w:val="continue"/>
            <w:vAlign w:val="center"/>
          </w:tcPr>
          <w:p w14:paraId="2926B1A0">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605D06EC">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移动DR</w:t>
            </w:r>
          </w:p>
        </w:tc>
        <w:tc>
          <w:tcPr>
            <w:tcW w:w="1215" w:type="dxa"/>
            <w:vAlign w:val="center"/>
          </w:tcPr>
          <w:p w14:paraId="340488FC">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695" w:type="dxa"/>
          </w:tcPr>
          <w:p w14:paraId="53F9E659">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6AEC58AE">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3BCD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576A3B">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bookmarkStart w:id="0" w:name="_GoBack" w:colFirst="2" w:colLast="3"/>
            <w:r>
              <w:rPr>
                <w:rFonts w:hint="eastAsia" w:ascii="仿宋_GB2312" w:hAnsi="仿宋_GB2312" w:eastAsia="仿宋_GB2312" w:cs="仿宋_GB2312"/>
                <w:color w:val="000000" w:themeColor="text1"/>
                <w:szCs w:val="21"/>
                <w14:textFill>
                  <w14:solidFill>
                    <w14:schemeClr w14:val="tx1"/>
                  </w14:solidFill>
                </w14:textFill>
              </w:rPr>
              <w:t>13</w:t>
            </w:r>
          </w:p>
        </w:tc>
        <w:tc>
          <w:tcPr>
            <w:tcW w:w="2374" w:type="dxa"/>
            <w:vMerge w:val="restart"/>
            <w:vAlign w:val="center"/>
          </w:tcPr>
          <w:p w14:paraId="1F27603A">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新建、改建、扩建项目</w:t>
            </w:r>
          </w:p>
          <w:p w14:paraId="02F5280A">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预评、控评、环评</w:t>
            </w:r>
          </w:p>
        </w:tc>
        <w:tc>
          <w:tcPr>
            <w:tcW w:w="1237" w:type="dxa"/>
            <w:vAlign w:val="center"/>
          </w:tcPr>
          <w:p w14:paraId="435BA641">
            <w:pPr>
              <w:spacing w:line="276"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DR</w:t>
            </w:r>
          </w:p>
        </w:tc>
        <w:tc>
          <w:tcPr>
            <w:tcW w:w="1215" w:type="dxa"/>
            <w:vAlign w:val="center"/>
          </w:tcPr>
          <w:p w14:paraId="2BB88D38">
            <w:pPr>
              <w:spacing w:line="276"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1台</w:t>
            </w:r>
          </w:p>
        </w:tc>
        <w:tc>
          <w:tcPr>
            <w:tcW w:w="1695" w:type="dxa"/>
          </w:tcPr>
          <w:p w14:paraId="5027163C">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335CD9A9">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2EB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1AAEC0A">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14</w:t>
            </w:r>
          </w:p>
        </w:tc>
        <w:tc>
          <w:tcPr>
            <w:tcW w:w="2374" w:type="dxa"/>
            <w:vMerge w:val="continue"/>
            <w:vAlign w:val="center"/>
          </w:tcPr>
          <w:p w14:paraId="57473E74">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5EDE73F4">
            <w:pPr>
              <w:spacing w:line="276"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CT</w:t>
            </w:r>
          </w:p>
        </w:tc>
        <w:tc>
          <w:tcPr>
            <w:tcW w:w="1215" w:type="dxa"/>
            <w:vAlign w:val="center"/>
          </w:tcPr>
          <w:p w14:paraId="76EFE88B">
            <w:pPr>
              <w:spacing w:line="276"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1台</w:t>
            </w:r>
          </w:p>
        </w:tc>
        <w:tc>
          <w:tcPr>
            <w:tcW w:w="1695" w:type="dxa"/>
          </w:tcPr>
          <w:p w14:paraId="23A4D060">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6A22B605">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212C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A06DEE">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15</w:t>
            </w:r>
          </w:p>
        </w:tc>
        <w:tc>
          <w:tcPr>
            <w:tcW w:w="2374" w:type="dxa"/>
            <w:vMerge w:val="continue"/>
            <w:vAlign w:val="center"/>
          </w:tcPr>
          <w:p w14:paraId="22FCD07A">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p>
        </w:tc>
        <w:tc>
          <w:tcPr>
            <w:tcW w:w="1237" w:type="dxa"/>
            <w:vAlign w:val="center"/>
          </w:tcPr>
          <w:p w14:paraId="15D4C881">
            <w:pPr>
              <w:spacing w:line="276"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DSA</w:t>
            </w:r>
          </w:p>
        </w:tc>
        <w:tc>
          <w:tcPr>
            <w:tcW w:w="1215" w:type="dxa"/>
            <w:vAlign w:val="center"/>
          </w:tcPr>
          <w:p w14:paraId="1B104697">
            <w:pPr>
              <w:spacing w:line="276"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1台</w:t>
            </w:r>
          </w:p>
        </w:tc>
        <w:tc>
          <w:tcPr>
            <w:tcW w:w="1695" w:type="dxa"/>
          </w:tcPr>
          <w:p w14:paraId="5B146B42">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14294169">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6190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77CB52">
            <w:pPr>
              <w:spacing w:line="276" w:lineRule="auto"/>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r>
              <w:rPr>
                <w:rFonts w:hint="eastAsia" w:ascii="仿宋_GB2312" w:hAnsi="仿宋_GB2312" w:eastAsia="仿宋_GB2312" w:cs="仿宋_GB2312"/>
                <w:color w:val="000000" w:themeColor="text1"/>
                <w:szCs w:val="21"/>
                <w:lang w:val="en-US" w:eastAsia="zh-CN"/>
                <w14:textFill>
                  <w14:solidFill>
                    <w14:schemeClr w14:val="tx1"/>
                  </w14:solidFill>
                </w14:textFill>
              </w:rPr>
              <w:t>6</w:t>
            </w:r>
          </w:p>
        </w:tc>
        <w:tc>
          <w:tcPr>
            <w:tcW w:w="2374" w:type="dxa"/>
            <w:vAlign w:val="center"/>
          </w:tcPr>
          <w:p w14:paraId="7DE3F8A5">
            <w:pPr>
              <w:spacing w:line="276" w:lineRule="auto"/>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个人剂量计检测</w:t>
            </w:r>
          </w:p>
        </w:tc>
        <w:tc>
          <w:tcPr>
            <w:tcW w:w="1237" w:type="dxa"/>
            <w:vAlign w:val="center"/>
          </w:tcPr>
          <w:p w14:paraId="0F18358C">
            <w:pPr>
              <w:spacing w:line="276"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1215" w:type="dxa"/>
            <w:vAlign w:val="center"/>
          </w:tcPr>
          <w:p w14:paraId="2163E867">
            <w:pPr>
              <w:spacing w:line="276"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120个</w:t>
            </w:r>
          </w:p>
        </w:tc>
        <w:tc>
          <w:tcPr>
            <w:tcW w:w="1695" w:type="dxa"/>
          </w:tcPr>
          <w:p w14:paraId="32E603D5">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1276" w:type="dxa"/>
          </w:tcPr>
          <w:p w14:paraId="772D9F17">
            <w:pPr>
              <w:spacing w:line="276" w:lineRule="auto"/>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bookmarkEnd w:id="0"/>
    </w:tbl>
    <w:p w14:paraId="60C32454">
      <w:pPr>
        <w:numPr>
          <w:ilvl w:val="0"/>
          <w:numId w:val="0"/>
        </w:numPr>
        <w:ind w:left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商务要求：</w:t>
      </w:r>
    </w:p>
    <w:p w14:paraId="257618F1">
      <w:pPr>
        <w:pStyle w:val="18"/>
        <w:spacing w:beforeLines="0" w:line="360" w:lineRule="auto"/>
        <w:ind w:firstLine="0" w:firstLineChars="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（1）服务期限：</w:t>
      </w:r>
    </w:p>
    <w:p w14:paraId="599D7D85">
      <w:pPr>
        <w:pStyle w:val="18"/>
        <w:spacing w:beforeLines="0" w:line="360" w:lineRule="auto"/>
        <w:ind w:firstLine="562" w:firstLineChars="201"/>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自合同签订之日起或自合同约定之日起1年。本项目为长期服务项目，合同期满可以续签，但合同履行期限最长不得超过三十六个月</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w:t>
      </w:r>
    </w:p>
    <w:p w14:paraId="55CA4C05">
      <w:pPr>
        <w:pStyle w:val="18"/>
        <w:spacing w:beforeLines="0" w:line="360" w:lineRule="auto"/>
        <w:ind w:firstLine="0" w:firstLineChars="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（2）服务地点：</w:t>
      </w:r>
    </w:p>
    <w:p w14:paraId="56C76BD7">
      <w:pPr>
        <w:pStyle w:val="18"/>
        <w:spacing w:beforeLines="0" w:line="360" w:lineRule="auto"/>
        <w:ind w:firstLine="565" w:firstLineChars="202"/>
        <w:rPr>
          <w:rFonts w:hint="default" w:ascii="宋体" w:hAnsi="宋体" w:eastAsia="宋体" w:cs="宋体"/>
          <w:b/>
          <w:color w:val="000000" w:themeColor="text1"/>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深圳市前海蛇口自贸区医院、前海梦工厂社康中心、前海人才港社康中心</w:t>
      </w:r>
    </w:p>
    <w:p w14:paraId="78FBC514">
      <w:pPr>
        <w:pStyle w:val="16"/>
        <w:numPr>
          <w:ilvl w:val="0"/>
          <w:numId w:val="0"/>
        </w:numPr>
        <w:spacing w:line="276" w:lineRule="auto"/>
        <w:ind w:left="0" w:leftChars="0" w:firstLine="0" w:firstLineChars="0"/>
        <w:jc w:val="lef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（3）报价</w:t>
      </w:r>
    </w:p>
    <w:p w14:paraId="2FCED61E">
      <w:pPr>
        <w:pStyle w:val="16"/>
        <w:numPr>
          <w:ilvl w:val="0"/>
          <w:numId w:val="0"/>
        </w:numPr>
        <w:spacing w:line="276" w:lineRule="auto"/>
        <w:ind w:firstLine="560" w:firstLineChars="200"/>
        <w:jc w:val="lef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1）投标人的报价高于预算金额为无效报价；</w:t>
      </w:r>
    </w:p>
    <w:p w14:paraId="42414905">
      <w:pPr>
        <w:numPr>
          <w:ilvl w:val="0"/>
          <w:numId w:val="0"/>
        </w:numPr>
        <w:spacing w:line="276"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2）以人民币为结算单位，报价包含完成项目所需的一切费用（包括工作人员交通费、伙食费、专家费、税金、政策性文件规定及合同包含的所有风险、责任等各项应有费</w:t>
      </w: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用</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14:paraId="18DA5F10">
      <w:pPr>
        <w:numPr>
          <w:ilvl w:val="255"/>
          <w:numId w:val="0"/>
        </w:numPr>
        <w:spacing w:line="276" w:lineRule="auto"/>
        <w:ind w:firstLine="0" w:firstLineChars="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（4）付款方式：合同签订后，按照实际产生的服务费用结算，具体付款方式如下：</w:t>
      </w:r>
    </w:p>
    <w:p w14:paraId="4C963E82">
      <w:pPr>
        <w:numPr>
          <w:ilvl w:val="255"/>
          <w:numId w:val="0"/>
        </w:numPr>
        <w:spacing w:line="276"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1）放射工作人员个人剂量监测在完成所有监测周期之日起15个工作日内进行支付；</w:t>
      </w:r>
    </w:p>
    <w:p w14:paraId="63E46382">
      <w:pPr>
        <w:spacing w:line="276"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2）放射设备年度防护和性能检测在取得交付成果后15个工作日内进行支付；</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br w:type="textWrapping"/>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    3）新、改和扩建放射诊疗项目职业病危害预评价、控评、环评等相关放射检测服务，按单个项目启动后15个工作日，按具体项目单价的30%支付；取得项目预评批文后15个工作日，按具体项目单价的30%支付；取得项目《辐射安全许可证》、《放射诊疗许可证》按具体项目单价的40%支付。</w:t>
      </w:r>
    </w:p>
    <w:p w14:paraId="00447016">
      <w:pPr>
        <w:spacing w:line="276" w:lineRule="auto"/>
        <w:rPr>
          <w:rFonts w:hint="eastAsia" w:ascii="仿宋" w:hAnsi="仿宋" w:eastAsia="仿宋"/>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评审规则</w:t>
      </w:r>
      <w:r>
        <w:rPr>
          <w:rFonts w:hint="eastAsia" w:ascii="仿宋" w:hAnsi="仿宋" w:eastAsia="仿宋"/>
          <w:color w:val="000000" w:themeColor="text1"/>
          <w:sz w:val="28"/>
          <w:szCs w:val="28"/>
          <w:lang w:eastAsia="zh-CN"/>
          <w14:textFill>
            <w14:solidFill>
              <w14:schemeClr w14:val="tx1"/>
            </w14:solidFill>
          </w14:textFill>
        </w:rPr>
        <w:t>：</w:t>
      </w:r>
    </w:p>
    <w:p w14:paraId="7F8446B4">
      <w:pPr>
        <w:adjustRightInd w:val="0"/>
        <w:snapToGrid w:val="0"/>
        <w:jc w:val="left"/>
        <w:rPr>
          <w:rFonts w:hint="eastAsia" w:ascii="仿宋_GB2312" w:hAnsi="仿宋_GB2312" w:eastAsia="仿宋_GB2312" w:cs="仿宋_GB2312"/>
          <w:i w:val="0"/>
          <w:iCs w:val="0"/>
          <w:color w:val="000000" w:themeColor="text1"/>
          <w:sz w:val="24"/>
          <w:szCs w:val="24"/>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评标方法：综合评分法</w:t>
      </w:r>
    </w:p>
    <w:p w14:paraId="1951A00D">
      <w:pPr>
        <w:pStyle w:val="3"/>
        <w:rPr>
          <w:rFonts w:hint="eastAsia"/>
          <w:color w:val="000000" w:themeColor="text1"/>
          <w:lang w:val="en-US"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E21FB4"/>
    <w:rsid w:val="00F43941"/>
    <w:rsid w:val="03830824"/>
    <w:rsid w:val="052B4C74"/>
    <w:rsid w:val="067211AF"/>
    <w:rsid w:val="09613140"/>
    <w:rsid w:val="0C6A7D1D"/>
    <w:rsid w:val="0D532C76"/>
    <w:rsid w:val="10650C4A"/>
    <w:rsid w:val="12507CE3"/>
    <w:rsid w:val="1264679E"/>
    <w:rsid w:val="136C3083"/>
    <w:rsid w:val="169D3D23"/>
    <w:rsid w:val="181A3A81"/>
    <w:rsid w:val="1B24746A"/>
    <w:rsid w:val="1C4A5F2B"/>
    <w:rsid w:val="1F9000F9"/>
    <w:rsid w:val="20380B6E"/>
    <w:rsid w:val="25457290"/>
    <w:rsid w:val="25E81903"/>
    <w:rsid w:val="26241BA3"/>
    <w:rsid w:val="268A3AF4"/>
    <w:rsid w:val="296A5517"/>
    <w:rsid w:val="2A126A3A"/>
    <w:rsid w:val="2AEB29D6"/>
    <w:rsid w:val="2B033E75"/>
    <w:rsid w:val="2CBA4A07"/>
    <w:rsid w:val="312A0667"/>
    <w:rsid w:val="31BC3D81"/>
    <w:rsid w:val="32B93831"/>
    <w:rsid w:val="33541399"/>
    <w:rsid w:val="345D1B1D"/>
    <w:rsid w:val="34947104"/>
    <w:rsid w:val="355D25CA"/>
    <w:rsid w:val="37C8447C"/>
    <w:rsid w:val="38224F00"/>
    <w:rsid w:val="386B2CF7"/>
    <w:rsid w:val="3BE455FD"/>
    <w:rsid w:val="3F786788"/>
    <w:rsid w:val="403C7730"/>
    <w:rsid w:val="418F2299"/>
    <w:rsid w:val="424D7F48"/>
    <w:rsid w:val="43C13BE5"/>
    <w:rsid w:val="47946129"/>
    <w:rsid w:val="48AF2AEE"/>
    <w:rsid w:val="4A556D6B"/>
    <w:rsid w:val="4B09082B"/>
    <w:rsid w:val="4B8A1DE7"/>
    <w:rsid w:val="4C4243A5"/>
    <w:rsid w:val="4F624D5E"/>
    <w:rsid w:val="51714156"/>
    <w:rsid w:val="524452D5"/>
    <w:rsid w:val="539D45B7"/>
    <w:rsid w:val="590F7B11"/>
    <w:rsid w:val="59266DFD"/>
    <w:rsid w:val="59917A07"/>
    <w:rsid w:val="59AA1B7F"/>
    <w:rsid w:val="5BB07760"/>
    <w:rsid w:val="5C62014C"/>
    <w:rsid w:val="60092CF4"/>
    <w:rsid w:val="64527E7A"/>
    <w:rsid w:val="64C01EB3"/>
    <w:rsid w:val="65614D09"/>
    <w:rsid w:val="67BD00DC"/>
    <w:rsid w:val="6C70102E"/>
    <w:rsid w:val="6D282CEC"/>
    <w:rsid w:val="6E0472B5"/>
    <w:rsid w:val="714B4FC7"/>
    <w:rsid w:val="74974D88"/>
    <w:rsid w:val="74B15375"/>
    <w:rsid w:val="76A663B1"/>
    <w:rsid w:val="779D7E32"/>
    <w:rsid w:val="78B24F5D"/>
    <w:rsid w:val="7A434B0C"/>
    <w:rsid w:val="7AD70AED"/>
    <w:rsid w:val="7BE44513"/>
    <w:rsid w:val="7DAA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b/>
      <w:bCs/>
      <w:sz w:val="24"/>
    </w:rPr>
  </w:style>
  <w:style w:type="paragraph" w:styleId="5">
    <w:name w:val="annotation text"/>
    <w:basedOn w:val="1"/>
    <w:qFormat/>
    <w:uiPriority w:val="99"/>
    <w:pPr>
      <w:autoSpaceDE w:val="0"/>
      <w:autoSpaceDN w:val="0"/>
      <w:adjustRightInd w:val="0"/>
      <w:jc w:val="left"/>
      <w:textAlignment w:val="baseline"/>
    </w:pPr>
    <w:rPr>
      <w:rFonts w:ascii="宋体"/>
      <w:kern w:val="0"/>
      <w:sz w:val="34"/>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style>
  <w:style w:type="table" w:styleId="10">
    <w:name w:val="Table Grid"/>
    <w:basedOn w:val="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left="704" w:hanging="420"/>
    </w:pPr>
    <w:rPr>
      <w:rFonts w:ascii="Times New Roman" w:hAnsi="Times New Roman" w:eastAsia="黑体" w:cs="Times New Roman"/>
      <w:sz w:val="32"/>
      <w:szCs w:val="24"/>
    </w:rPr>
  </w:style>
  <w:style w:type="character" w:customStyle="1" w:styleId="17">
    <w:name w:val="标题 1 字符"/>
    <w:basedOn w:val="11"/>
    <w:link w:val="3"/>
    <w:qFormat/>
    <w:uiPriority w:val="9"/>
    <w:rPr>
      <w:b/>
      <w:bCs/>
      <w:kern w:val="44"/>
      <w:sz w:val="44"/>
      <w:szCs w:val="44"/>
    </w:rPr>
  </w:style>
  <w:style w:type="paragraph" w:customStyle="1" w:styleId="18">
    <w:name w:val=".正文"/>
    <w:basedOn w:val="1"/>
    <w:qFormat/>
    <w:uiPriority w:val="0"/>
    <w:pPr>
      <w:spacing w:beforeLines="50"/>
      <w:ind w:firstLine="200" w:firstLineChars="200"/>
    </w:pPr>
    <w:rPr>
      <w:rFonts w:ascii="Calibri" w:hAnsi="Calibri" w:eastAsia="华文仿宋"/>
      <w:szCs w:val="22"/>
    </w:rPr>
  </w:style>
  <w:style w:type="paragraph" w:customStyle="1" w:styleId="19">
    <w:name w:val="正文首行缩进 21"/>
    <w:qFormat/>
    <w:uiPriority w:val="0"/>
    <w:pPr>
      <w:widowControl w:val="0"/>
      <w:ind w:firstLine="420" w:firstLineChars="200"/>
      <w:jc w:val="both"/>
    </w:pPr>
    <w:rPr>
      <w:rFonts w:ascii="仿宋_GB2312" w:hAnsi="仿宋_GB2312" w:eastAsia="宋体" w:cs="Times New Roman"/>
      <w:kern w:val="2"/>
      <w:sz w:val="21"/>
      <w:lang w:val="en-US" w:eastAsia="zh-CN" w:bidi="ar-SA"/>
    </w:rPr>
  </w:style>
  <w:style w:type="paragraph" w:customStyle="1" w:styleId="20">
    <w:name w:val="正文正"/>
    <w:qFormat/>
    <w:uiPriority w:val="0"/>
    <w:pPr>
      <w:widowControl w:val="0"/>
      <w:spacing w:line="560" w:lineRule="exact"/>
      <w:ind w:firstLine="561"/>
      <w:jc w:val="both"/>
    </w:pPr>
    <w:rPr>
      <w:rFonts w:ascii="Calibri" w:hAnsi="Calibri"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2491</Words>
  <Characters>2553</Characters>
  <Lines>7</Lines>
  <Paragraphs>2</Paragraphs>
  <TotalTime>191</TotalTime>
  <ScaleCrop>false</ScaleCrop>
  <LinksUpToDate>false</LinksUpToDate>
  <CharactersWithSpaces>2619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cp:lastPrinted>2025-09-23T03:01:00Z</cp:lastPrinted>
  <dcterms:modified xsi:type="dcterms:W3CDTF">2025-10-24T08:01:37Z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547D9000748841079DC979ED76E20BAF_13</vt:lpwstr>
  </property>
  <property fmtid="{D5CDD505-2E9C-101B-9397-08002B2CF9AE}" pid="4" name="KSOTemplateDocerSaveRecord">
    <vt:lpwstr>eyJoZGlkIjoiOTgxNzhhZWVjZDVjYzFiNzUyN2FlYmU1YTIwNTA2N2MiLCJ1c2VySWQiOiIxMTI2ODg3MDA2In0=</vt:lpwstr>
  </property>
</Properties>
</file>