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DE52">
      <w:pPr>
        <w:jc w:val="center"/>
        <w:rPr>
          <w:rFonts w:ascii="黑体" w:hAnsi="黑体" w:eastAsia="黑体"/>
          <w:sz w:val="44"/>
          <w:szCs w:val="44"/>
        </w:rPr>
      </w:pPr>
      <w:r>
        <w:rPr>
          <w:rFonts w:hint="eastAsia" w:ascii="黑体" w:hAnsi="黑体" w:eastAsia="黑体"/>
          <w:sz w:val="44"/>
          <w:szCs w:val="44"/>
        </w:rPr>
        <w:t>自行招标项目需求编制</w:t>
      </w:r>
    </w:p>
    <w:p w14:paraId="2303CFD0">
      <w:pPr>
        <w:pStyle w:val="15"/>
        <w:widowControl/>
        <w:numPr>
          <w:ilvl w:val="0"/>
          <w:numId w:val="1"/>
        </w:numPr>
        <w:spacing w:line="360" w:lineRule="auto"/>
        <w:jc w:val="left"/>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3A3DD037">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项目名称（需与会议纪要一致）：面部皮肤注射泵    </w:t>
      </w:r>
    </w:p>
    <w:p w14:paraId="03CAC894">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项目预算（单位：万元）：13.6万元</w:t>
      </w:r>
    </w:p>
    <w:p w14:paraId="545FE74B">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项目报价类型（总价/单价/综合折扣）：总价</w:t>
      </w:r>
    </w:p>
    <w:p w14:paraId="2070BD2A">
      <w:pPr>
        <w:pStyle w:val="15"/>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资金来源（政府预算资金/单位资金/财政专户管理资金/其他）：单位资金</w:t>
      </w:r>
    </w:p>
    <w:p w14:paraId="5DD701D4">
      <w:pPr>
        <w:pStyle w:val="15"/>
        <w:widowControl/>
        <w:numPr>
          <w:ilvl w:val="0"/>
          <w:numId w:val="2"/>
        </w:numPr>
        <w:spacing w:line="360" w:lineRule="auto"/>
        <w:jc w:val="left"/>
        <w:rPr>
          <w:rFonts w:ascii="仿宋_GB2312" w:hAnsi="仿宋_GB2312" w:eastAsia="仿宋_GB2312" w:cs="仿宋_GB2312"/>
          <w:kern w:val="0"/>
          <w:sz w:val="28"/>
          <w:szCs w:val="28"/>
        </w:rPr>
      </w:pPr>
      <w:bookmarkStart w:id="0" w:name="_GoBack"/>
      <w:bookmarkEnd w:id="0"/>
      <w:r>
        <w:rPr>
          <w:rFonts w:hint="eastAsia" w:ascii="仿宋_GB2312" w:hAnsi="仿宋_GB2312" w:eastAsia="仿宋_GB2312" w:cs="仿宋_GB2312"/>
          <w:kern w:val="0"/>
          <w:sz w:val="28"/>
          <w:szCs w:val="28"/>
        </w:rPr>
        <w:t>采购类别（货物/服务/工程）：货物</w:t>
      </w:r>
    </w:p>
    <w:p w14:paraId="5DEAC645">
      <w:pPr>
        <w:pStyle w:val="15"/>
        <w:widowControl/>
        <w:numPr>
          <w:ilvl w:val="0"/>
          <w:numId w:val="1"/>
        </w:num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7DDFE0BF">
      <w:pPr>
        <w:pStyle w:val="15"/>
        <w:widowControl/>
        <w:spacing w:line="360" w:lineRule="auto"/>
        <w:ind w:left="0"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（一）采购项目需实现的功能和目标：</w:t>
      </w:r>
    </w:p>
    <w:p w14:paraId="7435BA40">
      <w:pPr>
        <w:pStyle w:val="15"/>
        <w:widowControl/>
        <w:spacing w:line="360" w:lineRule="auto"/>
        <w:ind w:left="0" w:firstLine="560" w:firstLineChars="200"/>
        <w:jc w:val="left"/>
        <w:rPr>
          <w:rFonts w:ascii="仿宋_GB2312" w:hAnsi="仿宋_GB2312" w:eastAsia="仿宋_GB2312" w:cs="仿宋_GB2312"/>
          <w:sz w:val="28"/>
          <w:szCs w:val="28"/>
          <w:highlight w:val="yellow"/>
          <w:u w:val="single"/>
        </w:rPr>
      </w:pPr>
      <w:r>
        <w:rPr>
          <w:rFonts w:hint="eastAsia" w:ascii="仿宋_GB2312" w:hAnsi="仿宋_GB2312" w:eastAsia="仿宋_GB2312" w:cs="仿宋_GB2312"/>
          <w:sz w:val="28"/>
          <w:szCs w:val="28"/>
        </w:rPr>
        <w:t>注射切口精细，创面小，止血快，表皮损伤更小，患者治疗时更舒适，术后恢复期短，术后恢复快，为了满足临床工作的需求，加快开</w:t>
      </w:r>
      <w:r>
        <w:rPr>
          <w:rFonts w:hint="eastAsia" w:ascii="仿宋_GB2312" w:hAnsi="仿宋_GB2312" w:eastAsia="仿宋_GB2312" w:cs="仿宋_GB2312"/>
          <w:sz w:val="28"/>
          <w:szCs w:val="28"/>
          <w:lang w:eastAsia="zh-CN"/>
        </w:rPr>
        <w:t>展相</w:t>
      </w:r>
      <w:r>
        <w:rPr>
          <w:rFonts w:hint="eastAsia" w:ascii="仿宋_GB2312" w:hAnsi="仿宋_GB2312" w:eastAsia="仿宋_GB2312" w:cs="仿宋_GB2312"/>
          <w:sz w:val="28"/>
          <w:szCs w:val="28"/>
        </w:rPr>
        <w:t>关项目拓展该设备能有效的开拓新项目，同时不会造成患者流失。</w:t>
      </w:r>
    </w:p>
    <w:p w14:paraId="3E224D1E">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5D3FD676">
      <w:pPr>
        <w:numPr>
          <w:ilvl w:val="0"/>
          <w:numId w:val="3"/>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5867E4C0">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A7B81CB">
      <w:pPr>
        <w:numPr>
          <w:ilvl w:val="0"/>
          <w:numId w:val="4"/>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 w:hAnsi="仿宋" w:eastAsia="仿宋"/>
          <w:sz w:val="28"/>
          <w:szCs w:val="28"/>
          <w:u w:val="single"/>
        </w:rPr>
        <w:t>按照办法规定预留采购份额无法确保充分供应、充分竞争，或者存在可能影响政府采购目标实现的情形。</w:t>
      </w:r>
    </w:p>
    <w:p w14:paraId="1506D26A">
      <w:pPr>
        <w:numPr>
          <w:ilvl w:val="0"/>
          <w:numId w:val="5"/>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：□是☑否</w:t>
      </w:r>
    </w:p>
    <w:p w14:paraId="38D834B0">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1C05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43DA96A6">
            <w:pPr>
              <w:autoSpaceDE w:val="0"/>
              <w:autoSpaceDN w:val="0"/>
              <w:adjustRightInd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kern w:val="0"/>
                <w:sz w:val="28"/>
                <w:szCs w:val="28"/>
              </w:rPr>
              <w:t>名称</w:t>
            </w:r>
          </w:p>
        </w:tc>
        <w:tc>
          <w:tcPr>
            <w:tcW w:w="2331" w:type="dxa"/>
            <w:shd w:val="clear" w:color="auto" w:fill="FFFFFF"/>
            <w:tcMar>
              <w:top w:w="0" w:type="dxa"/>
              <w:right w:w="0" w:type="dxa"/>
            </w:tcMar>
            <w:vAlign w:val="center"/>
          </w:tcPr>
          <w:p w14:paraId="52F322DE">
            <w:pPr>
              <w:autoSpaceDE w:val="0"/>
              <w:autoSpaceDN w:val="0"/>
              <w:adjustRightInd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品目 （政府采购品目分类目录）</w:t>
            </w:r>
          </w:p>
        </w:tc>
        <w:tc>
          <w:tcPr>
            <w:tcW w:w="1601" w:type="dxa"/>
            <w:shd w:val="clear" w:color="auto" w:fill="FFFFFF"/>
            <w:tcMar>
              <w:top w:w="0" w:type="dxa"/>
              <w:right w:w="0" w:type="dxa"/>
            </w:tcMar>
            <w:vAlign w:val="center"/>
          </w:tcPr>
          <w:p w14:paraId="682A8F64">
            <w:pPr>
              <w:autoSpaceDE w:val="0"/>
              <w:autoSpaceDN w:val="0"/>
              <w:adjustRightInd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计量单位</w:t>
            </w:r>
          </w:p>
        </w:tc>
        <w:tc>
          <w:tcPr>
            <w:tcW w:w="968" w:type="dxa"/>
            <w:shd w:val="clear" w:color="auto" w:fill="FFFFFF"/>
            <w:vAlign w:val="center"/>
          </w:tcPr>
          <w:p w14:paraId="2BBD4BBA">
            <w:pPr>
              <w:autoSpaceDE w:val="0"/>
              <w:autoSpaceDN w:val="0"/>
              <w:adjustRightInd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数量</w:t>
            </w:r>
          </w:p>
        </w:tc>
        <w:tc>
          <w:tcPr>
            <w:tcW w:w="1200" w:type="dxa"/>
            <w:shd w:val="clear" w:color="auto" w:fill="FFFFFF"/>
            <w:vAlign w:val="center"/>
          </w:tcPr>
          <w:p w14:paraId="5A82CDB6">
            <w:pPr>
              <w:autoSpaceDE w:val="0"/>
              <w:autoSpaceDN w:val="0"/>
              <w:adjustRightInd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总预算（元）</w:t>
            </w:r>
          </w:p>
        </w:tc>
        <w:tc>
          <w:tcPr>
            <w:tcW w:w="2065" w:type="dxa"/>
            <w:shd w:val="clear" w:color="auto" w:fill="FFFFFF"/>
            <w:tcMar>
              <w:top w:w="0" w:type="dxa"/>
              <w:right w:w="0" w:type="dxa"/>
            </w:tcMar>
            <w:vAlign w:val="center"/>
          </w:tcPr>
          <w:p w14:paraId="5C2E1178">
            <w:pPr>
              <w:autoSpaceDE w:val="0"/>
              <w:autoSpaceDN w:val="0"/>
              <w:adjustRightInd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是否进口（货物类提供）</w:t>
            </w:r>
          </w:p>
        </w:tc>
      </w:tr>
      <w:tr w14:paraId="576C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76A1E4D8">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面部皮肤注射泵 </w:t>
            </w:r>
          </w:p>
        </w:tc>
        <w:tc>
          <w:tcPr>
            <w:tcW w:w="2331" w:type="dxa"/>
            <w:shd w:val="clear" w:color="auto" w:fill="FFFFFF"/>
            <w:tcMar>
              <w:top w:w="0" w:type="dxa"/>
              <w:right w:w="0" w:type="dxa"/>
            </w:tcMar>
            <w:vAlign w:val="center"/>
          </w:tcPr>
          <w:p w14:paraId="215E9072">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A02322700</w:t>
            </w:r>
            <w:r>
              <w:rPr>
                <w:rFonts w:hint="eastAsia" w:ascii="仿宋_GB2312" w:hAnsi="仿宋_GB2312" w:eastAsia="仿宋_GB2312" w:cs="仿宋_GB2312"/>
                <w:color w:val="auto"/>
                <w:kern w:val="0"/>
                <w:sz w:val="28"/>
                <w:szCs w:val="28"/>
                <w:highlight w:val="none"/>
                <w:lang w:val="en-US" w:eastAsia="zh-CN"/>
              </w:rPr>
              <w:t xml:space="preserve"> 病房护理及医院设备</w:t>
            </w:r>
          </w:p>
        </w:tc>
        <w:tc>
          <w:tcPr>
            <w:tcW w:w="1601" w:type="dxa"/>
            <w:shd w:val="clear" w:color="auto" w:fill="FFFFFF"/>
            <w:tcMar>
              <w:top w:w="0" w:type="dxa"/>
              <w:right w:w="0" w:type="dxa"/>
            </w:tcMar>
            <w:vAlign w:val="center"/>
          </w:tcPr>
          <w:p w14:paraId="623B3E34">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台   </w:t>
            </w:r>
          </w:p>
        </w:tc>
        <w:tc>
          <w:tcPr>
            <w:tcW w:w="968" w:type="dxa"/>
            <w:shd w:val="clear" w:color="auto" w:fill="FFFFFF"/>
            <w:vAlign w:val="center"/>
          </w:tcPr>
          <w:p w14:paraId="0119522C">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2   </w:t>
            </w:r>
          </w:p>
        </w:tc>
        <w:tc>
          <w:tcPr>
            <w:tcW w:w="1200" w:type="dxa"/>
            <w:shd w:val="clear" w:color="auto" w:fill="FFFFFF"/>
            <w:vAlign w:val="center"/>
          </w:tcPr>
          <w:p w14:paraId="477FD78B">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13.6万元  </w:t>
            </w:r>
          </w:p>
        </w:tc>
        <w:tc>
          <w:tcPr>
            <w:tcW w:w="2065" w:type="dxa"/>
            <w:shd w:val="clear" w:color="auto" w:fill="FFFFFF"/>
            <w:tcMar>
              <w:top w:w="0" w:type="dxa"/>
              <w:right w:w="0" w:type="dxa"/>
            </w:tcMar>
            <w:vAlign w:val="center"/>
          </w:tcPr>
          <w:p w14:paraId="488EA916">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否    </w:t>
            </w:r>
          </w:p>
        </w:tc>
      </w:tr>
    </w:tbl>
    <w:p w14:paraId="63CEE8BB">
      <w:pPr>
        <w:rPr>
          <w:b/>
          <w:bCs/>
        </w:rPr>
      </w:pPr>
      <w:r>
        <w:rPr>
          <w:rFonts w:hint="eastAsia" w:ascii="仿宋_GB2312" w:hAnsi="仿宋_GB2312" w:eastAsia="仿宋_GB2312" w:cs="仿宋_GB2312"/>
          <w:b/>
          <w:bCs/>
          <w:sz w:val="28"/>
          <w:szCs w:val="28"/>
        </w:rPr>
        <w:t>（五）按照规定及项目情况设置投标供应商资格要求：</w:t>
      </w:r>
    </w:p>
    <w:p w14:paraId="4D79C4BB">
      <w:pPr>
        <w:numPr>
          <w:ilvl w:val="0"/>
          <w:numId w:val="6"/>
        </w:numPr>
        <w:ind w:left="425" w:hanging="425"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0BA39C34">
      <w:pPr>
        <w:numPr>
          <w:ilvl w:val="0"/>
          <w:numId w:val="6"/>
        </w:numPr>
        <w:ind w:left="425" w:hanging="425"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53D9D0F4">
      <w:pPr>
        <w:numPr>
          <w:ilvl w:val="0"/>
          <w:numId w:val="6"/>
        </w:numPr>
        <w:ind w:left="425" w:hanging="425" w:firstLineChars="0"/>
        <w:rPr>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28AEAD8">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39507E74">
      <w:pPr>
        <w:numPr>
          <w:ilvl w:val="0"/>
          <w:numId w:val="7"/>
        </w:numPr>
        <w:ind w:lef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p>
    <w:p w14:paraId="688FF9D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用于</w:t>
      </w:r>
      <w:r>
        <w:rPr>
          <w:rFonts w:hint="eastAsia" w:asciiTheme="minorEastAsia" w:hAnsiTheme="minorEastAsia" w:eastAsiaTheme="minorEastAsia" w:cstheme="minorEastAsia"/>
          <w:b w:val="0"/>
          <w:bCs w:val="0"/>
          <w:color w:val="auto"/>
          <w:sz w:val="21"/>
          <w:szCs w:val="21"/>
          <w:highlight w:val="none"/>
        </w:rPr>
        <w:t>对患者面部真皮层进行定量注射透明质酸钠</w:t>
      </w:r>
    </w:p>
    <w:p w14:paraId="4689684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速度调节范围：</w:t>
      </w:r>
      <w:r>
        <w:rPr>
          <w:rFonts w:hint="eastAsia" w:asciiTheme="minorEastAsia" w:hAnsiTheme="minorEastAsia" w:eastAsiaTheme="minorEastAsia" w:cstheme="minorEastAsia"/>
          <w:color w:val="auto"/>
          <w:sz w:val="21"/>
          <w:szCs w:val="21"/>
          <w:highlight w:val="none"/>
        </w:rPr>
        <w:t>1.5mm/s至3.5mm/s，分档可调（如5档：非常慢1.5mm/s、慢2mm/s、中速2.5mm/s、快3mm/s、非常快3.5mm/s），误差±10%-15%</w:t>
      </w:r>
    </w:p>
    <w:p w14:paraId="4BAC6BA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注射剂量范围：</w:t>
      </w:r>
      <w:r>
        <w:rPr>
          <w:rFonts w:hint="eastAsia" w:asciiTheme="minorEastAsia" w:hAnsiTheme="minorEastAsia" w:eastAsiaTheme="minorEastAsia" w:cstheme="minorEastAsia"/>
          <w:color w:val="auto"/>
          <w:sz w:val="21"/>
          <w:szCs w:val="21"/>
          <w:highlight w:val="none"/>
        </w:rPr>
        <w:t>单次注射剂量可设，精度误差±3%-15%</w:t>
      </w:r>
      <w:r>
        <w:rPr>
          <w:rFonts w:hint="eastAsia" w:asciiTheme="minorEastAsia" w:hAnsiTheme="minorEastAsia" w:eastAsiaTheme="minorEastAsia" w:cstheme="minorEastAsia"/>
          <w:color w:val="auto"/>
          <w:sz w:val="21"/>
          <w:szCs w:val="21"/>
          <w:highlight w:val="none"/>
          <w:lang w:eastAsia="zh-CN"/>
        </w:rPr>
        <w:t>。</w:t>
      </w:r>
    </w:p>
    <w:p w14:paraId="52B0A77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注射次数设置</w:t>
      </w:r>
      <w:r>
        <w:rPr>
          <w:rFonts w:hint="eastAsia" w:asciiTheme="minorEastAsia" w:hAnsiTheme="minorEastAsia" w:eastAsiaTheme="minorEastAsia" w:cstheme="minorEastAsia"/>
          <w:i w:val="0"/>
          <w:iCs w:val="0"/>
          <w:caps w:val="0"/>
          <w:color w:val="auto"/>
          <w:spacing w:val="0"/>
          <w:sz w:val="21"/>
          <w:szCs w:val="21"/>
          <w:highlight w:val="none"/>
          <w:shd w:val="clear" w:fill="FFFFFF"/>
        </w:rPr>
        <w:t>：10-180次，步进为10次（如10、20、…、180次）</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0485F83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最大负压强度</w:t>
      </w:r>
      <w:r>
        <w:rPr>
          <w:rFonts w:hint="eastAsia" w:asciiTheme="minorEastAsia" w:hAnsiTheme="minorEastAsia" w:eastAsiaTheme="minorEastAsia" w:cstheme="minorEastAsia"/>
          <w:i w:val="0"/>
          <w:iCs w:val="0"/>
          <w:caps w:val="0"/>
          <w:color w:val="auto"/>
          <w:spacing w:val="0"/>
          <w:sz w:val="21"/>
          <w:szCs w:val="21"/>
          <w:highlight w:val="none"/>
          <w:shd w:val="clear" w:fill="FFFFFF"/>
        </w:rPr>
        <w:t>：-75kPa，档位可调（10档或11档）</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242B479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负压暂停时间</w:t>
      </w:r>
      <w:r>
        <w:rPr>
          <w:rFonts w:hint="eastAsia" w:asciiTheme="minorEastAsia" w:hAnsiTheme="minorEastAsia" w:eastAsiaTheme="minorEastAsia" w:cstheme="minorEastAsia"/>
          <w:i w:val="0"/>
          <w:iCs w:val="0"/>
          <w:caps w:val="0"/>
          <w:color w:val="auto"/>
          <w:spacing w:val="0"/>
          <w:sz w:val="21"/>
          <w:szCs w:val="21"/>
          <w:highlight w:val="none"/>
          <w:shd w:val="clear" w:fill="FFFFFF"/>
        </w:rPr>
        <w:t>：0.5s至3s可调，误差±0.3s</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289F38A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注射模式</w:t>
      </w:r>
      <w:r>
        <w:rPr>
          <w:rFonts w:hint="eastAsia" w:asciiTheme="minorEastAsia" w:hAnsiTheme="minorEastAsia" w:eastAsiaTheme="minorEastAsia" w:cstheme="minorEastAsia"/>
          <w:i w:val="0"/>
          <w:iCs w:val="0"/>
          <w:caps w:val="0"/>
          <w:color w:val="auto"/>
          <w:spacing w:val="0"/>
          <w:sz w:val="21"/>
          <w:szCs w:val="21"/>
          <w:highlight w:val="none"/>
          <w:shd w:val="clear" w:fill="FFFFFF"/>
        </w:rPr>
        <w:t>：支持自动感应、自动脚踏（单次触发）、连续脚踏（手动控制）三种模式</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132DB54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间隔时间设置</w:t>
      </w:r>
      <w:r>
        <w:rPr>
          <w:rFonts w:hint="eastAsia" w:asciiTheme="minorEastAsia" w:hAnsiTheme="minorEastAsia" w:eastAsiaTheme="minorEastAsia" w:cstheme="minorEastAsia"/>
          <w:i w:val="0"/>
          <w:iCs w:val="0"/>
          <w:caps w:val="0"/>
          <w:color w:val="auto"/>
          <w:spacing w:val="0"/>
          <w:sz w:val="21"/>
          <w:szCs w:val="21"/>
          <w:highlight w:val="none"/>
          <w:shd w:val="clear" w:fill="FFFFFF"/>
        </w:rPr>
        <w:t>：0.5s至3s可调（6档选择）</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7986364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针剂适配</w:t>
      </w:r>
      <w:r>
        <w:rPr>
          <w:rFonts w:hint="eastAsia" w:asciiTheme="minorEastAsia" w:hAnsiTheme="minorEastAsia" w:eastAsiaTheme="minorEastAsia" w:cstheme="minorEastAsia"/>
          <w:i w:val="0"/>
          <w:iCs w:val="0"/>
          <w:caps w:val="0"/>
          <w:color w:val="auto"/>
          <w:spacing w:val="0"/>
          <w:sz w:val="21"/>
          <w:szCs w:val="21"/>
          <w:highlight w:val="none"/>
          <w:shd w:val="clear" w:fill="FFFFFF"/>
        </w:rPr>
        <w:t>：支持1ml、2.5ml、3ml、5ml等通用注射器，可调节针剂剂量（如0.8ml至5ml）</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7236E54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color w:val="auto"/>
          <w:sz w:val="21"/>
          <w:szCs w:val="21"/>
          <w:highlight w:val="none"/>
          <w:shd w:val="clear" w:fill="FFFFFF"/>
        </w:rPr>
      </w:pPr>
      <w:r>
        <w:rPr>
          <w:rFonts w:hint="eastAsia" w:asciiTheme="minorEastAsia" w:hAnsiTheme="minorEastAsia" w:eastAsiaTheme="minorEastAsia" w:cstheme="minorEastAsia"/>
          <w:b w:val="0"/>
          <w:bCs w:val="0"/>
          <w:color w:val="auto"/>
          <w:sz w:val="21"/>
          <w:szCs w:val="21"/>
          <w:highlight w:val="none"/>
          <w:shd w:val="clear" w:fill="FFFFFF"/>
        </w:rPr>
        <w:t>参数记忆：</w:t>
      </w:r>
      <w:r>
        <w:rPr>
          <w:rFonts w:hint="eastAsia" w:asciiTheme="minorEastAsia" w:hAnsiTheme="minorEastAsia" w:eastAsiaTheme="minorEastAsia" w:cstheme="minorEastAsia"/>
          <w:color w:val="auto"/>
          <w:sz w:val="21"/>
          <w:szCs w:val="21"/>
          <w:highlight w:val="none"/>
          <w:shd w:val="clear" w:fill="FFFFFF"/>
        </w:rPr>
        <w:t>支持4组常用参数存储，便于快速调用。</w:t>
      </w:r>
    </w:p>
    <w:p w14:paraId="5E874F3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b w:val="0"/>
          <w:bCs w:val="0"/>
          <w:color w:val="auto"/>
          <w:sz w:val="21"/>
          <w:szCs w:val="21"/>
          <w:highlight w:val="none"/>
          <w:shd w:val="clear" w:fill="FFFFFF"/>
        </w:rPr>
        <w:t>显示与交互：</w:t>
      </w:r>
      <w:r>
        <w:rPr>
          <w:rFonts w:hint="eastAsia" w:asciiTheme="minorEastAsia" w:hAnsiTheme="minorEastAsia" w:eastAsiaTheme="minorEastAsia" w:cstheme="minorEastAsia"/>
          <w:color w:val="auto"/>
          <w:sz w:val="21"/>
          <w:szCs w:val="21"/>
          <w:highlight w:val="none"/>
          <w:shd w:val="clear" w:fill="FFFFFF"/>
        </w:rPr>
        <w:t>配备液晶触摸屏，全中文操作界面，支持单发剂量智能计算显示</w:t>
      </w:r>
      <w:r>
        <w:rPr>
          <w:rFonts w:hint="eastAsia" w:asciiTheme="minorEastAsia" w:hAnsiTheme="minorEastAsia" w:eastAsiaTheme="minorEastAsia" w:cstheme="minorEastAsia"/>
          <w:color w:val="auto"/>
          <w:sz w:val="21"/>
          <w:szCs w:val="21"/>
          <w:highlight w:val="none"/>
          <w:shd w:val="clear" w:fill="FFFFFF"/>
          <w:lang w:eastAsia="zh-CN"/>
        </w:rPr>
        <w:t>。</w:t>
      </w:r>
    </w:p>
    <w:p w14:paraId="6B08801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报警功能</w:t>
      </w:r>
      <w:r>
        <w:rPr>
          <w:rFonts w:hint="eastAsia" w:asciiTheme="minorEastAsia" w:hAnsiTheme="minorEastAsia" w:eastAsiaTheme="minorEastAsia" w:cstheme="minorEastAsia"/>
          <w:i w:val="0"/>
          <w:iCs w:val="0"/>
          <w:caps w:val="0"/>
          <w:color w:val="auto"/>
          <w:spacing w:val="0"/>
          <w:sz w:val="21"/>
          <w:szCs w:val="21"/>
          <w:highlight w:val="none"/>
          <w:shd w:val="clear" w:fill="FFFFFF"/>
        </w:rPr>
        <w:t>：包括阻塞提醒（针头堵塞或药液耗尽）、断电提醒、负压不足提醒</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4E7DB69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防水设计</w:t>
      </w:r>
      <w:r>
        <w:rPr>
          <w:rFonts w:hint="eastAsia" w:asciiTheme="minorEastAsia" w:hAnsiTheme="minorEastAsia" w:eastAsiaTheme="minorEastAsia" w:cstheme="minorEastAsia"/>
          <w:i w:val="0"/>
          <w:iCs w:val="0"/>
          <w:caps w:val="0"/>
          <w:color w:val="auto"/>
          <w:spacing w:val="0"/>
          <w:sz w:val="21"/>
          <w:szCs w:val="21"/>
          <w:highlight w:val="none"/>
          <w:shd w:val="clear" w:fill="FFFFFF"/>
        </w:rPr>
        <w:t>：整机及手柄电机具备防水功能</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28C0409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pPr>
      <w:r>
        <w:rPr>
          <w:rStyle w:val="12"/>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防交叉感染</w:t>
      </w:r>
      <w:r>
        <w:rPr>
          <w:rFonts w:hint="eastAsia" w:asciiTheme="minorEastAsia" w:hAnsiTheme="minorEastAsia" w:eastAsiaTheme="minorEastAsia" w:cstheme="minorEastAsia"/>
          <w:i w:val="0"/>
          <w:iCs w:val="0"/>
          <w:caps w:val="0"/>
          <w:color w:val="auto"/>
          <w:spacing w:val="0"/>
          <w:sz w:val="21"/>
          <w:szCs w:val="21"/>
          <w:highlight w:val="none"/>
          <w:shd w:val="clear" w:fill="FFFFFF"/>
        </w:rPr>
        <w:t>：采用一次性前置过滤装置</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p>
    <w:p w14:paraId="501C2A7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color w:val="auto"/>
          <w:sz w:val="21"/>
          <w:szCs w:val="21"/>
          <w:highlight w:val="none"/>
          <w:shd w:val="clear" w:fill="FFFFFF"/>
        </w:rPr>
      </w:pPr>
      <w:r>
        <w:rPr>
          <w:rFonts w:hint="eastAsia" w:asciiTheme="minorEastAsia" w:hAnsiTheme="minorEastAsia" w:eastAsiaTheme="minorEastAsia" w:cstheme="minorEastAsia"/>
          <w:b w:val="0"/>
          <w:bCs w:val="0"/>
          <w:color w:val="auto"/>
          <w:sz w:val="21"/>
          <w:szCs w:val="21"/>
          <w:highlight w:val="none"/>
          <w:shd w:val="clear" w:fill="FFFFFF"/>
        </w:rPr>
        <w:t>电气安全：</w:t>
      </w:r>
      <w:r>
        <w:rPr>
          <w:rFonts w:hint="eastAsia" w:asciiTheme="minorEastAsia" w:hAnsiTheme="minorEastAsia" w:eastAsiaTheme="minorEastAsia" w:cstheme="minorEastAsia"/>
          <w:color w:val="auto"/>
          <w:sz w:val="21"/>
          <w:szCs w:val="21"/>
          <w:highlight w:val="none"/>
          <w:shd w:val="clear" w:fill="FFFFFF"/>
        </w:rPr>
        <w:t>符合《医用电气设备安全通用要求》及电磁兼容标准。</w:t>
      </w:r>
    </w:p>
    <w:p w14:paraId="6AC4189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color w:val="auto"/>
          <w:sz w:val="21"/>
          <w:szCs w:val="21"/>
          <w:highlight w:val="none"/>
          <w:shd w:val="clear" w:fill="FFFFFF"/>
        </w:rPr>
      </w:pPr>
      <w:r>
        <w:rPr>
          <w:rFonts w:hint="eastAsia" w:asciiTheme="minorEastAsia" w:hAnsiTheme="minorEastAsia" w:eastAsiaTheme="minorEastAsia" w:cstheme="minorEastAsia"/>
          <w:color w:val="auto"/>
          <w:sz w:val="21"/>
          <w:szCs w:val="21"/>
          <w:highlight w:val="none"/>
          <w:shd w:val="clear" w:fill="FFFFFF"/>
        </w:rPr>
        <w:t>环境试验：通过高温、低温、湿热、运输等环境测试。</w:t>
      </w:r>
    </w:p>
    <w:p w14:paraId="1544DF4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color w:val="auto"/>
          <w:sz w:val="21"/>
          <w:szCs w:val="21"/>
          <w:highlight w:val="none"/>
          <w:shd w:val="clear" w:fill="FFFFFF"/>
        </w:rPr>
      </w:pPr>
      <w:r>
        <w:rPr>
          <w:rFonts w:hint="eastAsia" w:asciiTheme="minorEastAsia" w:hAnsiTheme="minorEastAsia" w:eastAsiaTheme="minorEastAsia" w:cstheme="minorEastAsia"/>
          <w:color w:val="auto"/>
          <w:sz w:val="21"/>
          <w:szCs w:val="21"/>
          <w:highlight w:val="none"/>
          <w:shd w:val="clear" w:fill="FFFFFF"/>
        </w:rPr>
        <w:t>脚踏开关寿命：≥30,000次操作</w:t>
      </w:r>
    </w:p>
    <w:p w14:paraId="2526ACB0">
      <w:pPr>
        <w:numPr>
          <w:ilvl w:val="0"/>
          <w:numId w:val="8"/>
        </w:numPr>
        <w:spacing w:line="360" w:lineRule="auto"/>
        <w:ind w:leftChars="0" w:firstLine="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配置清单</w:t>
      </w:r>
    </w:p>
    <w:p w14:paraId="7AA7AF5E">
      <w:pPr>
        <w:numPr>
          <w:ilvl w:val="0"/>
          <w:numId w:val="9"/>
        </w:numPr>
        <w:spacing w:line="360" w:lineRule="auto"/>
        <w:ind w:lef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主机1台</w:t>
      </w:r>
    </w:p>
    <w:p w14:paraId="49077BF1">
      <w:pPr>
        <w:numPr>
          <w:ilvl w:val="0"/>
          <w:numId w:val="9"/>
        </w:numPr>
        <w:spacing w:line="360" w:lineRule="auto"/>
        <w:ind w:lef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手柄1套</w:t>
      </w:r>
    </w:p>
    <w:p w14:paraId="3A6F3D9A">
      <w:pPr>
        <w:numPr>
          <w:ilvl w:val="0"/>
          <w:numId w:val="9"/>
        </w:numPr>
        <w:spacing w:line="360" w:lineRule="auto"/>
        <w:ind w:lef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负压管5根</w:t>
      </w:r>
    </w:p>
    <w:p w14:paraId="4C2173F4">
      <w:pPr>
        <w:numPr>
          <w:ilvl w:val="0"/>
          <w:numId w:val="9"/>
        </w:numPr>
        <w:spacing w:line="360" w:lineRule="auto"/>
        <w:ind w:lef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脚踏开关1个</w:t>
      </w:r>
    </w:p>
    <w:p w14:paraId="5C8B0757">
      <w:pPr>
        <w:numPr>
          <w:ilvl w:val="0"/>
          <w:numId w:val="9"/>
        </w:numPr>
        <w:spacing w:line="360" w:lineRule="auto"/>
        <w:ind w:lef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带插头电源线1根</w:t>
      </w:r>
    </w:p>
    <w:p w14:paraId="24A0BFA5">
      <w:pPr>
        <w:numPr>
          <w:ilvl w:val="0"/>
          <w:numId w:val="9"/>
        </w:numPr>
        <w:spacing w:line="360" w:lineRule="auto"/>
        <w:ind w:lef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电源适配器1个</w:t>
      </w:r>
    </w:p>
    <w:p w14:paraId="06C951B6">
      <w:pPr>
        <w:numPr>
          <w:ilvl w:val="0"/>
          <w:numId w:val="9"/>
        </w:numPr>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手柄支架1个</w:t>
      </w:r>
    </w:p>
    <w:p w14:paraId="1132EE21">
      <w:pPr>
        <w:numPr>
          <w:ilvl w:val="0"/>
          <w:numId w:val="9"/>
        </w:numPr>
        <w:spacing w:line="360" w:lineRule="auto"/>
        <w:ind w:left="0" w:lef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消音器1个</w:t>
      </w:r>
      <w:r>
        <w:rPr>
          <w:rFonts w:hint="eastAsia" w:asciiTheme="minorEastAsia" w:hAnsiTheme="minorEastAsia" w:eastAsiaTheme="minorEastAsia" w:cstheme="minorEastAsia"/>
          <w:color w:val="auto"/>
          <w:sz w:val="21"/>
          <w:szCs w:val="21"/>
          <w:highlight w:val="none"/>
          <w:lang w:val="en-US" w:eastAsia="zh-CN"/>
        </w:rPr>
        <w:t>。</w:t>
      </w:r>
    </w:p>
    <w:p w14:paraId="253E59CE">
      <w:pPr>
        <w:numPr>
          <w:ilvl w:val="0"/>
          <w:numId w:val="7"/>
        </w:numPr>
        <w:jc w:val="left"/>
        <w:rPr>
          <w:rFonts w:ascii="仿宋_GB2312" w:hAnsi="仿宋_GB2312" w:eastAsia="仿宋_GB2312" w:cs="仿宋_GB2312"/>
          <w:sz w:val="28"/>
          <w:szCs w:val="28"/>
        </w:rPr>
      </w:pPr>
      <w:r>
        <w:rPr>
          <w:rFonts w:hint="eastAsia" w:ascii="微软雅黑" w:hAnsi="微软雅黑" w:eastAsia="微软雅黑" w:cs="微软雅黑"/>
          <w:color w:val="000000"/>
          <w:kern w:val="0"/>
          <w:sz w:val="28"/>
          <w:szCs w:val="28"/>
        </w:rPr>
        <w:t>★</w:t>
      </w:r>
      <w:r>
        <w:rPr>
          <w:rFonts w:hint="eastAsia" w:ascii="仿宋_GB2312" w:hAnsi="仿宋_GB2312" w:eastAsia="仿宋_GB2312" w:cs="仿宋_GB2312"/>
          <w:sz w:val="28"/>
          <w:szCs w:val="28"/>
        </w:rPr>
        <w:t>商务要求：</w:t>
      </w:r>
    </w:p>
    <w:tbl>
      <w:tblPr>
        <w:tblStyle w:val="9"/>
        <w:tblW w:w="10365" w:type="dxa"/>
        <w:jc w:val="center"/>
        <w:tblLayout w:type="autofit"/>
        <w:tblCellMar>
          <w:top w:w="0" w:type="dxa"/>
          <w:left w:w="108" w:type="dxa"/>
          <w:bottom w:w="0" w:type="dxa"/>
          <w:right w:w="108" w:type="dxa"/>
        </w:tblCellMar>
      </w:tblPr>
      <w:tblGrid>
        <w:gridCol w:w="525"/>
        <w:gridCol w:w="735"/>
        <w:gridCol w:w="1020"/>
        <w:gridCol w:w="8085"/>
      </w:tblGrid>
      <w:tr w14:paraId="47F03C5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28A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432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DE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商务要求</w:t>
            </w:r>
          </w:p>
        </w:tc>
      </w:tr>
      <w:tr w14:paraId="46209491">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5D1B8">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（一）免费保修期内售后服务要求</w:t>
            </w:r>
          </w:p>
        </w:tc>
      </w:tr>
      <w:tr w14:paraId="52A9E526">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0D6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661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062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A0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设备原厂（含附件）免费保修期为</w:t>
            </w:r>
            <w:r>
              <w:rPr>
                <w:rStyle w:val="17"/>
                <w:rFonts w:hint="default" w:hAnsi="宋体"/>
                <w:highlight w:val="yellow"/>
              </w:rPr>
              <w:t>1</w:t>
            </w:r>
            <w:r>
              <w:rPr>
                <w:rStyle w:val="18"/>
                <w:rFonts w:hint="default" w:hAnsi="宋体"/>
              </w:rPr>
              <w:t>年，自验收报告签字之日开始计算。</w:t>
            </w:r>
          </w:p>
        </w:tc>
      </w:tr>
      <w:tr w14:paraId="67F001B6">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58B7">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E9A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32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CAC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30161E02">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1F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2593">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1F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B61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235531EC">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F59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C38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882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C2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投标人应按其投标文件中的承诺，进行其他售后服务工作。</w:t>
            </w:r>
          </w:p>
        </w:tc>
      </w:tr>
      <w:tr w14:paraId="1CCFC912">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F83F5">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（二）免费保修期外售后服务要求</w:t>
            </w:r>
          </w:p>
        </w:tc>
      </w:tr>
      <w:tr w14:paraId="2A7E1B3F">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28F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B5C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893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560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2197A6D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8748D">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（三）其他商务要求</w:t>
            </w:r>
          </w:p>
        </w:tc>
      </w:tr>
      <w:tr w14:paraId="24965BDE">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1862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5862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363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B92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highlight w:val="yellow"/>
              </w:rPr>
              <w:t>合同签订或约定之日起</w:t>
            </w:r>
            <w:r>
              <w:rPr>
                <w:rStyle w:val="17"/>
                <w:rFonts w:hint="default" w:hAnsi="宋体"/>
                <w:highlight w:val="yellow"/>
              </w:rPr>
              <w:t>30</w:t>
            </w:r>
            <w:r>
              <w:rPr>
                <w:rStyle w:val="18"/>
                <w:rFonts w:hint="default" w:hAnsi="宋体"/>
                <w:highlight w:val="yellow"/>
              </w:rPr>
              <w:t>日历天内交货。</w:t>
            </w:r>
          </w:p>
        </w:tc>
      </w:tr>
      <w:tr w14:paraId="065696BA">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A12F">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70E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109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98C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地点：采购人指定地点。</w:t>
            </w:r>
          </w:p>
        </w:tc>
      </w:tr>
      <w:tr w14:paraId="5A497E37">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AD2E">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48BC">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890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363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投标人必须在交货之日起</w:t>
            </w:r>
            <w:r>
              <w:rPr>
                <w:rStyle w:val="17"/>
                <w:rFonts w:hint="default" w:hAnsi="宋体"/>
                <w:b w:val="0"/>
                <w:bCs w:val="0"/>
              </w:rPr>
              <w:t>60</w:t>
            </w:r>
            <w:r>
              <w:rPr>
                <w:rStyle w:val="18"/>
                <w:rFonts w:hint="default" w:hAnsi="宋体"/>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7DB5E58A">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6C1D">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68F5">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A0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906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199A4D68">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1EE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4904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1FE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F7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投标人货物经过双方检验认可后，签署验收报告，产品保修期自验收合格之日起算，由投标人提供产品保修文件。</w:t>
            </w:r>
          </w:p>
        </w:tc>
      </w:tr>
      <w:tr w14:paraId="79CC8F8A">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23A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F5E1">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EBE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3F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当满足以下条件时，采购人才向投标人签发货物验收报告：投标人已按照合同规定提供了全部产品及完整的技术资料。货物符合招标文件技术要求，性能满足要求。国产货物必须具备产品合格证。</w:t>
            </w:r>
          </w:p>
        </w:tc>
      </w:tr>
      <w:tr w14:paraId="0298504A">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3B3B">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BE06B">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629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D49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凡属于国家规定强制检测的设备项目，都必须具备计量质检部门的检测合格证。</w:t>
            </w:r>
          </w:p>
        </w:tc>
      </w:tr>
      <w:tr w14:paraId="04B15F1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DF51">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FBE9">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F40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298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验收过程中，如采购人拟对货物质量进行实质验收时，有权邀请第三方检测机构对货物进行检测或测试，因此所需的费用由投标人承担。</w:t>
            </w:r>
          </w:p>
        </w:tc>
      </w:tr>
      <w:tr w14:paraId="0912E2C5">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6902">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AFDA">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8DF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521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14D26BB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6D96">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8838">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8CA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9C8">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在验收过程中，中标人需出具与设备制造商签订的与原合同条款一致的维保合同或原厂维保承诺函。</w:t>
            </w:r>
          </w:p>
        </w:tc>
      </w:tr>
      <w:tr w14:paraId="369146DE">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2CD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9BAE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A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44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796CB7F7">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68EF">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F69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47A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51F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0489C307">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2EE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A274">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5F6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F65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若所投产品为进口产品，则投标人需提供由制造商或授权的中国总代理签署的合法有效的保修、维修承诺函（免费保修期满足招标文件要求）扫描件；若所投产品为国产产品，则无需提供。</w:t>
            </w:r>
          </w:p>
        </w:tc>
      </w:tr>
      <w:tr w14:paraId="0C31239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8FA7">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BBB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8E0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86D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2EB969E5">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A4D7">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6057">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E2F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86D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本次标的若包含软件服务，需本地化部署，并严格遵照《信息安全法》等相关法律法规，符合网络安全管理相关规定，所有数据未经采购方允许，不得向第三方私自泄漏。</w:t>
            </w:r>
          </w:p>
        </w:tc>
      </w:tr>
      <w:tr w14:paraId="53A68F88">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CBA3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F4D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E0F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635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合同生效后，货到指定地点，安装验收合格后，采购人收到投标人提供的相应金额合法有效发票后，支付合同总金额的100%。</w:t>
            </w:r>
          </w:p>
        </w:tc>
      </w:tr>
      <w:tr w14:paraId="782378AD">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9AD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421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6A5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D2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5CCE9BA0">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DE0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2895">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F13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43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若本项目财政下达的资金数额不足以支付合同约定的比例金额，采购人将按照实际财政下达的资金数额支付合同款，不足部分将待新的项目资金下达后进行支付。</w:t>
            </w:r>
          </w:p>
        </w:tc>
      </w:tr>
      <w:tr w14:paraId="0FE04ADF">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C7AF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76AF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FA2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D78">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A51FC66">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B9B9">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D25D">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D6B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78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由于投标人的原因未能按时交货的，每迟一天向采购人支付合同总额的0.5%违约金，如超过交货期10天，采购人有权终止合同并通过法律程序对投标人进行索赔。</w:t>
            </w:r>
          </w:p>
        </w:tc>
      </w:tr>
      <w:tr w14:paraId="1DF2A616">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1FC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72FB">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ACA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AE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由于投标人的原因，在货到一周内未进行安装调试，或安装调试时间超过正常要求，按每超过一天按合同总额的0.5%向采购人支付违约金。情节严重者，将依法律程序对投标人进行索赔。</w:t>
            </w:r>
          </w:p>
        </w:tc>
      </w:tr>
    </w:tbl>
    <w:p w14:paraId="3113B0D7">
      <w:pPr>
        <w:pStyle w:val="2"/>
        <w:spacing w:before="0" w:after="0" w:line="240" w:lineRule="auto"/>
        <w:rPr>
          <w:rFonts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11917F0E">
      <w:pPr>
        <w:adjustRightInd w:val="0"/>
        <w:snapToGrid w:val="0"/>
        <w:jc w:val="left"/>
        <w:rPr>
          <w:rFonts w:ascii="仿宋" w:hAnsi="仿宋" w:eastAsia="仿宋"/>
          <w:sz w:val="28"/>
          <w:szCs w:val="28"/>
        </w:rPr>
      </w:pPr>
      <w:r>
        <w:rPr>
          <w:rFonts w:hint="eastAsia" w:ascii="仿宋" w:hAnsi="仿宋" w:eastAsia="仿宋"/>
          <w:sz w:val="28"/>
          <w:szCs w:val="28"/>
        </w:rPr>
        <w:t>1.评标方法：☑综合评分法（评分细则提供附件）、□最低评标价法</w:t>
      </w:r>
    </w:p>
    <w:p w14:paraId="7D46BF31">
      <w:pPr>
        <w:adjustRightInd w:val="0"/>
        <w:snapToGrid w:val="0"/>
        <w:jc w:val="left"/>
        <w:rPr>
          <w:rFonts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说明：若勾选综合评分法请提供评分细则，招标采购办会根据“财政局”相关规范条款对此份细则进行审核及修改。评分细则：设置合理明确的评分内容。与项目无关的要求不得作为评分内容。评分准则应多采用权威标准、政府评级及其他可具体量化的评判指标，减少依赖专家主观评判的指标。）</w:t>
      </w:r>
    </w:p>
    <w:p w14:paraId="1568ECA3">
      <w:pPr>
        <w:adjustRightInd w:val="0"/>
        <w:snapToGrid w:val="0"/>
        <w:jc w:val="left"/>
        <w:rPr>
          <w:rFonts w:ascii="仿宋_GB2312" w:hAnsi="仿宋_GB2312" w:eastAsia="仿宋_GB2312" w:cs="仿宋_GB2312"/>
          <w:color w:val="FF0000"/>
          <w:sz w:val="24"/>
          <w:szCs w:val="24"/>
        </w:rPr>
      </w:pPr>
    </w:p>
    <w:p w14:paraId="00AA3861">
      <w:pPr>
        <w:adjustRightInd w:val="0"/>
        <w:snapToGrid w:val="0"/>
        <w:jc w:val="left"/>
        <w:rPr>
          <w:rFonts w:ascii="仿宋_GB2312" w:hAnsi="仿宋_GB2312" w:eastAsia="仿宋_GB2312" w:cs="仿宋_GB2312"/>
          <w:color w:val="FF0000"/>
          <w:sz w:val="24"/>
          <w:szCs w:val="24"/>
        </w:rPr>
      </w:pPr>
    </w:p>
    <w:p w14:paraId="1B0D4441">
      <w:pPr>
        <w:adjustRightInd w:val="0"/>
        <w:snapToGrid w:val="0"/>
        <w:jc w:val="left"/>
        <w:rPr>
          <w:rFonts w:ascii="仿宋_GB2312" w:hAnsi="仿宋_GB2312" w:eastAsia="仿宋_GB2312" w:cs="仿宋_GB2312"/>
          <w:color w:val="FF0000"/>
          <w:sz w:val="24"/>
          <w:szCs w:val="24"/>
        </w:rPr>
      </w:pPr>
    </w:p>
    <w:p w14:paraId="65222ADC">
      <w:pPr>
        <w:adjustRightInd w:val="0"/>
        <w:snapToGrid w:val="0"/>
        <w:jc w:val="left"/>
        <w:rPr>
          <w:rFonts w:ascii="仿宋_GB2312" w:hAnsi="仿宋_GB2312" w:eastAsia="仿宋_GB2312" w:cs="仿宋_GB2312"/>
          <w:color w:val="FF0000"/>
          <w:sz w:val="24"/>
          <w:szCs w:val="24"/>
        </w:rPr>
      </w:pPr>
    </w:p>
    <w:p w14:paraId="07D4FC81">
      <w:pPr>
        <w:adjustRightInd w:val="0"/>
        <w:snapToGrid w:val="0"/>
        <w:jc w:val="left"/>
        <w:rPr>
          <w:rFonts w:ascii="仿宋_GB2312" w:hAnsi="仿宋_GB2312" w:eastAsia="仿宋_GB2312" w:cs="仿宋_GB2312"/>
          <w:color w:val="FF0000"/>
          <w:sz w:val="24"/>
          <w:szCs w:val="24"/>
        </w:rPr>
      </w:pPr>
    </w:p>
    <w:p w14:paraId="6D7758CD">
      <w:pPr>
        <w:adjustRightInd w:val="0"/>
        <w:snapToGrid w:val="0"/>
        <w:jc w:val="left"/>
        <w:rPr>
          <w:rFonts w:ascii="仿宋_GB2312" w:hAnsi="仿宋_GB2312" w:eastAsia="仿宋_GB2312" w:cs="仿宋_GB2312"/>
          <w:color w:val="FF0000"/>
          <w:sz w:val="24"/>
          <w:szCs w:val="24"/>
        </w:rPr>
      </w:pPr>
    </w:p>
    <w:p w14:paraId="4288FEF8">
      <w:pPr>
        <w:adjustRightInd w:val="0"/>
        <w:snapToGrid w:val="0"/>
        <w:jc w:val="left"/>
        <w:rPr>
          <w:rFonts w:ascii="仿宋_GB2312" w:hAnsi="仿宋_GB2312" w:eastAsia="仿宋_GB2312" w:cs="仿宋_GB2312"/>
          <w:color w:val="FF0000"/>
          <w:sz w:val="24"/>
          <w:szCs w:val="24"/>
        </w:rPr>
      </w:pPr>
    </w:p>
    <w:p w14:paraId="3BF591A4">
      <w:pPr>
        <w:adjustRightInd w:val="0"/>
        <w:snapToGrid w:val="0"/>
        <w:jc w:val="left"/>
        <w:rPr>
          <w:rFonts w:ascii="仿宋_GB2312" w:hAnsi="仿宋_GB2312" w:eastAsia="仿宋_GB2312" w:cs="仿宋_GB2312"/>
          <w:color w:val="FF0000"/>
          <w:sz w:val="24"/>
          <w:szCs w:val="24"/>
        </w:rPr>
      </w:pPr>
    </w:p>
    <w:p w14:paraId="1938B381">
      <w:pPr>
        <w:adjustRightInd w:val="0"/>
        <w:snapToGrid w:val="0"/>
        <w:jc w:val="left"/>
        <w:rPr>
          <w:rFonts w:ascii="仿宋_GB2312" w:hAnsi="仿宋_GB2312" w:eastAsia="仿宋_GB2312" w:cs="仿宋_GB2312"/>
          <w:color w:val="FF0000"/>
          <w:sz w:val="24"/>
          <w:szCs w:val="24"/>
        </w:rPr>
      </w:pPr>
    </w:p>
    <w:p w14:paraId="3C30524E">
      <w:pPr>
        <w:adjustRightInd w:val="0"/>
        <w:snapToGrid w:val="0"/>
        <w:jc w:val="left"/>
        <w:rPr>
          <w:rFonts w:ascii="仿宋_GB2312" w:hAnsi="仿宋_GB2312" w:eastAsia="仿宋_GB2312" w:cs="仿宋_GB2312"/>
          <w:color w:val="FF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5FCC52C1">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FBD3F"/>
    <w:multiLevelType w:val="singleLevel"/>
    <w:tmpl w:val="906FBD3F"/>
    <w:lvl w:ilvl="0" w:tentative="0">
      <w:start w:val="1"/>
      <w:numFmt w:val="upperLetter"/>
      <w:lvlText w:val="%1."/>
      <w:lvlJc w:val="left"/>
      <w:pPr>
        <w:ind w:left="5" w:hanging="425"/>
      </w:pPr>
      <w:rPr>
        <w:rFonts w:hint="default"/>
      </w:rPr>
    </w:lvl>
  </w:abstractNum>
  <w:abstractNum w:abstractNumId="1">
    <w:nsid w:val="96F36F45"/>
    <w:multiLevelType w:val="singleLevel"/>
    <w:tmpl w:val="96F36F45"/>
    <w:lvl w:ilvl="0" w:tentative="0">
      <w:start w:val="1"/>
      <w:numFmt w:val="decimal"/>
      <w:lvlText w:val="%1."/>
      <w:lvlJc w:val="left"/>
      <w:pPr>
        <w:ind w:left="425" w:hanging="425"/>
      </w:pPr>
      <w:rPr>
        <w:rFonts w:hint="default"/>
      </w:rPr>
    </w:lvl>
  </w:abstractNum>
  <w:abstractNum w:abstractNumId="2">
    <w:nsid w:val="A67903EB"/>
    <w:multiLevelType w:val="singleLevel"/>
    <w:tmpl w:val="A67903EB"/>
    <w:lvl w:ilvl="0" w:tentative="0">
      <w:start w:val="3"/>
      <w:numFmt w:val="chineseCounting"/>
      <w:suff w:val="nothing"/>
      <w:lvlText w:val="（%1）"/>
      <w:lvlJc w:val="left"/>
      <w:rPr>
        <w:rFonts w:hint="eastAsia"/>
        <w:b/>
        <w:bCs/>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0ABA41"/>
    <w:multiLevelType w:val="singleLevel"/>
    <w:tmpl w:val="310ABA41"/>
    <w:lvl w:ilvl="0" w:tentative="0">
      <w:start w:val="1"/>
      <w:numFmt w:val="decimal"/>
      <w:lvlText w:val="(%1)"/>
      <w:lvlJc w:val="left"/>
      <w:pPr>
        <w:ind w:left="425" w:hanging="425"/>
      </w:pPr>
      <w:rPr>
        <w:rFonts w:hint="default"/>
      </w:r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61AC3B12"/>
    <w:multiLevelType w:val="singleLevel"/>
    <w:tmpl w:val="61AC3B12"/>
    <w:lvl w:ilvl="0" w:tentative="0">
      <w:start w:val="1"/>
      <w:numFmt w:val="decimal"/>
      <w:lvlText w:val="%1."/>
      <w:lvlJc w:val="left"/>
      <w:pPr>
        <w:ind w:left="425" w:hanging="425"/>
      </w:pPr>
      <w:rPr>
        <w:rFonts w:hint="default"/>
      </w:rPr>
    </w:lvl>
  </w:abstractNum>
  <w:abstractNum w:abstractNumId="8">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8"/>
  </w:num>
  <w:num w:numId="3">
    <w:abstractNumId w:val="1"/>
  </w:num>
  <w:num w:numId="4">
    <w:abstractNumId w:val="6"/>
  </w:num>
  <w:num w:numId="5">
    <w:abstractNumId w:val="2"/>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681410"/>
    <w:rsid w:val="0002072A"/>
    <w:rsid w:val="00061E07"/>
    <w:rsid w:val="000631E6"/>
    <w:rsid w:val="00160CAF"/>
    <w:rsid w:val="00162818"/>
    <w:rsid w:val="001802EC"/>
    <w:rsid w:val="00216720"/>
    <w:rsid w:val="002277A4"/>
    <w:rsid w:val="00311C9A"/>
    <w:rsid w:val="00450081"/>
    <w:rsid w:val="00581E52"/>
    <w:rsid w:val="005E26F8"/>
    <w:rsid w:val="00671FB5"/>
    <w:rsid w:val="00681410"/>
    <w:rsid w:val="00691265"/>
    <w:rsid w:val="0078244A"/>
    <w:rsid w:val="008914B7"/>
    <w:rsid w:val="008E29A4"/>
    <w:rsid w:val="00B97AED"/>
    <w:rsid w:val="00BC641A"/>
    <w:rsid w:val="00BC765A"/>
    <w:rsid w:val="00C9106E"/>
    <w:rsid w:val="00DD4D5B"/>
    <w:rsid w:val="00DF1455"/>
    <w:rsid w:val="00E67F4F"/>
    <w:rsid w:val="00E95D44"/>
    <w:rsid w:val="00EC041B"/>
    <w:rsid w:val="00F33846"/>
    <w:rsid w:val="00F43941"/>
    <w:rsid w:val="0C6A7D1D"/>
    <w:rsid w:val="0D532C76"/>
    <w:rsid w:val="1C4A5F2B"/>
    <w:rsid w:val="1D3E161D"/>
    <w:rsid w:val="268A3AF4"/>
    <w:rsid w:val="2B033E75"/>
    <w:rsid w:val="2CBA4A07"/>
    <w:rsid w:val="2F88004D"/>
    <w:rsid w:val="312A0667"/>
    <w:rsid w:val="31BC3D81"/>
    <w:rsid w:val="345D1B1D"/>
    <w:rsid w:val="386B2CF7"/>
    <w:rsid w:val="390C2C9E"/>
    <w:rsid w:val="3BE455FD"/>
    <w:rsid w:val="3DA24B99"/>
    <w:rsid w:val="3F786788"/>
    <w:rsid w:val="418F2299"/>
    <w:rsid w:val="4249479D"/>
    <w:rsid w:val="457368B5"/>
    <w:rsid w:val="47946129"/>
    <w:rsid w:val="47CB5A57"/>
    <w:rsid w:val="4C4243A5"/>
    <w:rsid w:val="4F624D5E"/>
    <w:rsid w:val="51D9166A"/>
    <w:rsid w:val="539D45B7"/>
    <w:rsid w:val="59266DFD"/>
    <w:rsid w:val="61A96E48"/>
    <w:rsid w:val="6C70102E"/>
    <w:rsid w:val="6D282CEC"/>
    <w:rsid w:val="6E0472B5"/>
    <w:rsid w:val="715278CE"/>
    <w:rsid w:val="74974D88"/>
    <w:rsid w:val="74B15375"/>
    <w:rsid w:val="759E26CD"/>
    <w:rsid w:val="75AE135E"/>
    <w:rsid w:val="76A52295"/>
    <w:rsid w:val="7B2F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Document Map"/>
    <w:basedOn w:val="1"/>
    <w:link w:val="22"/>
    <w:semiHidden/>
    <w:qFormat/>
    <w:uiPriority w:val="0"/>
    <w:pPr>
      <w:shd w:val="clear" w:color="auto" w:fill="000080"/>
      <w:spacing w:line="360" w:lineRule="auto"/>
      <w:ind w:firstLine="425"/>
    </w:pPr>
    <w:rPr>
      <w:rFonts w:ascii="Times New Roman" w:hAnsi="Times New Roman" w:eastAsia="宋体" w:cs="Times New Roman"/>
      <w:szCs w:val="20"/>
    </w:rPr>
  </w:style>
  <w:style w:type="paragraph" w:styleId="5">
    <w:name w:val="annotation text"/>
    <w:basedOn w:val="1"/>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styleId="15">
    <w:name w:val="List Paragraph"/>
    <w:basedOn w:val="1"/>
    <w:qFormat/>
    <w:uiPriority w:val="34"/>
    <w:pPr>
      <w:ind w:left="704" w:hanging="420"/>
    </w:pPr>
    <w:rPr>
      <w:rFonts w:ascii="Times New Roman" w:hAnsi="Times New Roman" w:eastAsia="黑体" w:cs="Times New Roman"/>
      <w:sz w:val="32"/>
      <w:szCs w:val="24"/>
    </w:rPr>
  </w:style>
  <w:style w:type="character" w:customStyle="1" w:styleId="16">
    <w:name w:val="标题 1 Char"/>
    <w:basedOn w:val="11"/>
    <w:link w:val="2"/>
    <w:qFormat/>
    <w:uiPriority w:val="9"/>
    <w:rPr>
      <w:b/>
      <w:bCs/>
      <w:kern w:val="44"/>
      <w:sz w:val="44"/>
      <w:szCs w:val="44"/>
    </w:rPr>
  </w:style>
  <w:style w:type="character" w:customStyle="1" w:styleId="17">
    <w:name w:val="font21"/>
    <w:basedOn w:val="11"/>
    <w:autoRedefine/>
    <w:qFormat/>
    <w:uiPriority w:val="0"/>
    <w:rPr>
      <w:rFonts w:hint="eastAsia" w:ascii="仿宋_GB2312" w:eastAsia="仿宋_GB2312" w:cs="仿宋_GB2312"/>
      <w:b/>
      <w:bCs/>
      <w:color w:val="000000"/>
      <w:sz w:val="28"/>
      <w:szCs w:val="28"/>
      <w:u w:val="none"/>
    </w:rPr>
  </w:style>
  <w:style w:type="character" w:customStyle="1" w:styleId="18">
    <w:name w:val="font31"/>
    <w:basedOn w:val="11"/>
    <w:autoRedefine/>
    <w:qFormat/>
    <w:uiPriority w:val="0"/>
    <w:rPr>
      <w:rFonts w:hint="eastAsia" w:ascii="仿宋_GB2312" w:eastAsia="仿宋_GB2312" w:cs="仿宋_GB2312"/>
      <w:color w:val="000000"/>
      <w:sz w:val="28"/>
      <w:szCs w:val="28"/>
      <w:u w:val="none"/>
    </w:rPr>
  </w:style>
  <w:style w:type="character" w:customStyle="1" w:styleId="19">
    <w:name w:val="批注框文本 Char"/>
    <w:basedOn w:val="11"/>
    <w:link w:val="6"/>
    <w:semiHidden/>
    <w:qFormat/>
    <w:uiPriority w:val="99"/>
    <w:rPr>
      <w:rFonts w:asciiTheme="minorHAnsi" w:hAnsiTheme="minorHAnsi" w:eastAsiaTheme="minorEastAsia" w:cstheme="minorBidi"/>
      <w:kern w:val="2"/>
      <w:sz w:val="18"/>
      <w:szCs w:val="18"/>
    </w:rPr>
  </w:style>
  <w:style w:type="paragraph" w:customStyle="1" w:styleId="20">
    <w:name w:val="表格文字"/>
    <w:basedOn w:val="1"/>
    <w:link w:val="21"/>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21">
    <w:name w:val="表格文字 Char"/>
    <w:link w:val="20"/>
    <w:qFormat/>
    <w:locked/>
    <w:uiPriority w:val="0"/>
    <w:rPr>
      <w:bCs/>
      <w:spacing w:val="10"/>
      <w:sz w:val="24"/>
    </w:rPr>
  </w:style>
  <w:style w:type="character" w:customStyle="1" w:styleId="22">
    <w:name w:val="文档结构图 Char"/>
    <w:basedOn w:val="11"/>
    <w:link w:val="4"/>
    <w:semiHidden/>
    <w:qFormat/>
    <w:uiPriority w:val="0"/>
    <w:rPr>
      <w:kern w:val="2"/>
      <w:sz w:val="21"/>
      <w:shd w:val="clear" w:color="auto" w:fill="000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1397</Words>
  <Characters>1517</Characters>
  <Lines>39</Lines>
  <Paragraphs>11</Paragraphs>
  <TotalTime>0</TotalTime>
  <ScaleCrop>false</ScaleCrop>
  <LinksUpToDate>false</LinksUpToDate>
  <CharactersWithSpaces>1549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2025-05-09T07:10:39Z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C0BFF453FD1C486ABE1E49EDC803B142_13</vt:lpwstr>
  </property>
  <property fmtid="{D5CDD505-2E9C-101B-9397-08002B2CF9AE}" pid="4" name="KSOTemplateDocerSaveRecord">
    <vt:lpwstr>eyJoZGlkIjoiOTgxNzhhZWVjZDVjYzFiNzUyN2FlYmU1YTIwNTA2N2MiLCJ1c2VySWQiOiIxMTI2ODg3MDA2In0=</vt:lpwstr>
  </property>
</Properties>
</file>