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color w:val="auto"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color w:val="auto"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color w:val="auto"/>
          <w:sz w:val="44"/>
          <w:szCs w:val="44"/>
          <w:lang w:val="en-US" w:eastAsia="zh-CN"/>
        </w:rPr>
        <w:t>日志管理系统建设方案征集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日志管理系统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76"/>
        <w:gridCol w:w="3930"/>
        <w:gridCol w:w="827"/>
        <w:gridCol w:w="1027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日志管理系统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一、协议及监控范围支持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1、支持Agent、SNMP、ODBC、IPMI、SSH 、TELNET、SEND、HTTP、JMX、脚本、计算型等监控方式，支持IPv4和IPv6地址的设备监控。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2、Agent探针支持熔断机制，当主机负载使用较高时可自动暂停采集服务；Agent包大小不超过30MB，同时承诺开源Agent。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3、覆盖数据库、中间件、操作系统、服务器、存储、网络。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4、数据存储支持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信创数据库及扩展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5、系统可运行在麒麟、统信等，服务器处理器兼容兆芯、海光等。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6、数据传输采用压缩机制，支持敏感信息加密存储，保证数据安全。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二、监控管理要求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1、web监控允许重定向，支持添加多个变量和HTTP头信息；URL认证信息包括：HTTP认证、SSL证书文件、SSL秘钥文件、SSL秘钥密码等。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2、支持选择任意客户端作为站点发起探测。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3、提供专线链路监控功能，支持NAQ探测、ICMP探测、SLA服务等级、Rping、Proxy代理监控，监控指标包括：带宽利用率、速率、时延、抖动、丢包率等。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4、提供指标阈值管理功能，支持最新值大于某个值即可触发、最大值\最小值持续N次触发、多指标组合配置阈值规则等。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三、监控能力要求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1、数据采集间隔精细到秒级，支持配置监控项的采集间隔和保存时长；采集间隔定义灵活，支持自定义时间段。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2、支持导入、导出监控对象配置信息，能够批量更新监控对象的信息，包括但不限于：更改数据采集间隔、监控模板、所属分组等。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3、提供脚本管理功能，支持编写脚本并下发至监控对象，执行结果可直接在监控界面展现；脚本类型包括但不限于SSH、Telnet、IPMI、webhook等。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4、支持配置触发器依赖关系，上级告警触发时抑制下级告警。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5、提供维护期功能，维护期的对象不触发告警通知；支持配置多个不同维护时间段，可按一次性、每日、每周、每月进行配置。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四、业务服务功能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1、提供业务拓扑自动发现功能，通过输入IP、发现层级即可自动发现业务主机、端口、应用进程之间的关系。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2、支持周期性拓扑发现，同时提供排查无效端口、排查IP和发现范围IP；发现过程中支持端口自动添加探测。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3、支持配置业务健康分值，按应用层、中间层、物理层设置对象及权重分值，支持自定义设置告警扣分情况。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4、支持业务版本记录，当拓扑发生变化后，自动生成历史版本；同时支持版本变化通知。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5、提供业务容量分析，包括CPU容量、内存容量、文件系统容量等信息；支持查看CPU、内存总使用情况，获取业务某个时间段内的最大值、平均值变化趋势。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五、告警管理要求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1、提供告警关联知识，能够在告警页面查看知识方案；同时具备将故障处理方案记录到知识库。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2、支持告警关联拓扑功能，实现故障影响范围分析，可快速打开包含该资源的拓扑界面。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3、支持告警关联阈值配置，可在告警详情快速配置监控项阈值，包括等级、持续次数、阈值大小、告警标题等信息。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4、支持按告警标题、分组、分组群集、对象名称、IP、类型、子类型、时间期间、模板等配置通知条件，提供多种计算方式：与（A and B）or C、或 A or B or C、和A and B and C。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5、提供告警通知抑制功能，当告警数达到风暴临界点时，可触发熔断保护机制，避免大规模告警发送。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六、指标预处理能力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1、监控指标提供预处理能力，支持自定义设置预定步骤。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2、预定步骤类型包括：正则表达式、替换、自定义倍数、简单更改、每秒更改、布尔值到十进制、八进制转十进制、十六进制转十进制、XML to JSON、CSV to JSON、修整、修整左边、修整右边等。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七、报表管理功能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1、实时报表支持多对象多指标统计，提供实时数据、统计数据两种视角。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2、提供报表订阅功能，支持我的订阅和代理订阅，订阅周期支持天、周、月不同粒度。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3、针对操作系统、云主机的性能指标（CPU、内存）进行统计，鉴别僵尸机器、不跑业务主机；约束条件支持且、或，可按最大值、最小值、平均值进行过滤。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4、巡检报告支持订阅、下载，支持Excel、Word格式发送；报告内容包括不限于：巡检概述、告警统计、巡检指标、告警清单、故障统计处理等。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5、报表组件包含：监控总览、指标TOPN图、仪表盘、折线图、环形图、柱状图、饼图、告警清单、告警分类统计、告警级别统计、对象告警TOPN、触发器告警topN等10多种。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八、可视化大屏输出功能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1、提供投屏视图功能，用户可自定义配置管理视图，平台至少内置10种以上常见布局，同时还支持自定义拖拽界面布局。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2、大屏组件包含：仪表盘、折线图、面积图、指标TOPN、拓扑图、最新告警、对象告警TOPN、告警级别统计、告警分类统计、触发器告警TOPN等10多种。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3、支持自定义设置投屏轮播，提供自定义上传背景图片、大屏复制、粘贴、剪切等功能。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九、网络拓扑功能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1、支持自动发现网络拓扑，发现过程中可开启服务器\存储的发现，以及终端设备自动分层；同时支持Proxy方式发现。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2、提供网元、链路的告警状态显示，异常时会有告警闪烁；支持隐藏拓扑上的网元及链路。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3、支持查看链路带宽、速率等指标信息，同时提供链路数据流量图。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4、提供带宽利用率颜色配置，支持按使用百分比展示不同颜色。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5、支持拓扑层级展示，双击进入子网拓扑；拓扑网元对象支持自定义更换图标。。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十、资源发现功能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1、通过输入IP网段和凭证，实现IP资源一键扫描功能；自动发现类型包括不限于：Linux、Window、防火墙、交换机、路由器、服务器等，适配厂商包括飞塔、深信服、华为、华三、思科、瞻博、博科、戴尔等。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2、IP扫描过程中，支持立即终止、重新扫描、凭证测试、切换厂商等操作。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 xml:space="preserve">十一、软件授权许可及服务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提供300个节点的监控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授权，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监控授权不分具体分类，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产品永久授权，免费3年更新服务。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部署在1号楼应用区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预算：300000元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color w:val="auto"/>
          <w:szCs w:val="24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本着“公平、公开、公正”的原则，欢迎国内厂商填写好《调研表》并与产品相关材料一起（全部资料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发至</w:t>
      </w:r>
      <w:r>
        <w:rPr>
          <w:rFonts w:hint="eastAsia" w:eastAsia="仿宋_GB2312"/>
          <w:b/>
          <w:bCs/>
          <w:color w:val="auto"/>
          <w:kern w:val="2"/>
          <w:szCs w:val="24"/>
        </w:rPr>
        <w:t>Email：</w:t>
      </w:r>
      <w:r>
        <w:rPr>
          <w:rFonts w:hint="eastAsia" w:eastAsia="仿宋_GB2312"/>
          <w:b/>
          <w:bCs/>
          <w:color w:val="auto"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color w:val="auto"/>
          <w:kern w:val="2"/>
          <w:szCs w:val="24"/>
        </w:rPr>
        <w:t>@</w:t>
      </w:r>
      <w:r>
        <w:rPr>
          <w:rFonts w:hint="eastAsia" w:eastAsia="仿宋_GB2312"/>
          <w:b/>
          <w:bCs/>
          <w:color w:val="auto"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color w:val="auto"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auto"/>
          <w:szCs w:val="24"/>
        </w:rPr>
      </w:pPr>
      <w:r>
        <w:rPr>
          <w:rFonts w:hint="eastAsia" w:ascii="仿宋_GB2312" w:hAnsi="宋体" w:eastAsia="仿宋_GB2312" w:cs="仿宋_GB2312"/>
          <w:b/>
          <w:color w:val="auto"/>
          <w:szCs w:val="24"/>
          <w:shd w:val="clear" w:color="auto" w:fill="FFFFFF"/>
        </w:rPr>
        <w:t>调研表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auto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color w:val="auto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auto"/>
          <w:szCs w:val="24"/>
        </w:rPr>
      </w:pPr>
      <w:r>
        <w:rPr>
          <w:rFonts w:hint="eastAsia" w:ascii="仿宋_GB2312" w:hAnsi="宋体" w:eastAsia="仿宋_GB2312" w:cstheme="minorBidi"/>
          <w:color w:val="auto"/>
          <w:kern w:val="2"/>
          <w:szCs w:val="24"/>
        </w:rPr>
        <w:t>注：需提供公司营业执照复印件，所有材料要加盖公章。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color w:val="auto"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202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年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月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highlight w:val="none"/>
        </w:rPr>
        <w:t>日1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7点。项目专家论证会时间（需准备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分钟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的PPT进行项目建设方案的介绍）另行通知。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color w:val="auto"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color w:val="auto"/>
          <w:kern w:val="2"/>
          <w:szCs w:val="24"/>
          <w:lang w:val="en-US" w:eastAsia="zh-CN"/>
        </w:rPr>
        <w:t>18033057806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5835C6C"/>
    <w:rsid w:val="08F35E3C"/>
    <w:rsid w:val="0B0E56E1"/>
    <w:rsid w:val="0B247374"/>
    <w:rsid w:val="0D86163D"/>
    <w:rsid w:val="0FCC7AA4"/>
    <w:rsid w:val="13CA397A"/>
    <w:rsid w:val="14EF3F6B"/>
    <w:rsid w:val="15F00BBD"/>
    <w:rsid w:val="1F1C23DE"/>
    <w:rsid w:val="22C420FD"/>
    <w:rsid w:val="2C8B015F"/>
    <w:rsid w:val="2CEE645F"/>
    <w:rsid w:val="2EC851B9"/>
    <w:rsid w:val="31DD71CE"/>
    <w:rsid w:val="35C65C86"/>
    <w:rsid w:val="36042777"/>
    <w:rsid w:val="384509FC"/>
    <w:rsid w:val="392E6561"/>
    <w:rsid w:val="40637E57"/>
    <w:rsid w:val="47DC79E5"/>
    <w:rsid w:val="496438D9"/>
    <w:rsid w:val="4F6A7DC6"/>
    <w:rsid w:val="52720E14"/>
    <w:rsid w:val="53BD74C5"/>
    <w:rsid w:val="56B20379"/>
    <w:rsid w:val="588B3A5D"/>
    <w:rsid w:val="59012EF2"/>
    <w:rsid w:val="5B5A3652"/>
    <w:rsid w:val="5ECC3FA2"/>
    <w:rsid w:val="61120392"/>
    <w:rsid w:val="66460429"/>
    <w:rsid w:val="70F9509B"/>
    <w:rsid w:val="74B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2763</Words>
  <Characters>3011</Characters>
  <Lines>0</Lines>
  <Paragraphs>0</Paragraphs>
  <TotalTime>10</TotalTime>
  <ScaleCrop>false</ScaleCrop>
  <LinksUpToDate>false</LinksUpToDate>
  <CharactersWithSpaces>3051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2025-09-10T02:28:41Z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3931FFBA880946FFA5B0012F6B83E33C_13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